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6200" w:rsidRPr="003429B0" w:rsidRDefault="00DE6200" w:rsidP="00DE6200">
      <w:pPr>
        <w:pStyle w:val="CRCoverPage"/>
        <w:tabs>
          <w:tab w:val="right" w:pos="9639"/>
        </w:tabs>
        <w:spacing w:after="0"/>
        <w:rPr>
          <w:b/>
          <w:i/>
          <w:sz w:val="28"/>
        </w:rPr>
      </w:pPr>
      <w:r w:rsidRPr="003429B0">
        <w:rPr>
          <w:b/>
          <w:sz w:val="24"/>
          <w:lang w:eastAsia="zh-TW"/>
        </w:rPr>
        <w:t>3</w:t>
      </w:r>
      <w:r w:rsidRPr="003429B0">
        <w:rPr>
          <w:b/>
          <w:sz w:val="24"/>
        </w:rPr>
        <w:t>GPP TSG-</w:t>
      </w:r>
      <w:r w:rsidRPr="003429B0">
        <w:rPr>
          <w:b/>
          <w:sz w:val="24"/>
          <w:lang w:eastAsia="zh-TW"/>
        </w:rPr>
        <w:t>RAN WG2</w:t>
      </w:r>
      <w:r w:rsidRPr="003429B0">
        <w:rPr>
          <w:b/>
          <w:sz w:val="24"/>
        </w:rPr>
        <w:t xml:space="preserve"> Meeting </w:t>
      </w:r>
      <w:r w:rsidRPr="005821B2">
        <w:rPr>
          <w:b/>
          <w:sz w:val="24"/>
        </w:rPr>
        <w:t>#</w:t>
      </w:r>
      <w:r w:rsidR="0097394C">
        <w:rPr>
          <w:b/>
          <w:sz w:val="24"/>
          <w:lang w:eastAsia="zh-TW"/>
        </w:rPr>
        <w:t>10</w:t>
      </w:r>
      <w:r w:rsidR="0005250E">
        <w:rPr>
          <w:b/>
          <w:sz w:val="24"/>
          <w:lang w:eastAsia="zh-TW"/>
        </w:rPr>
        <w:t>7</w:t>
      </w:r>
      <w:r w:rsidRPr="003429B0">
        <w:rPr>
          <w:b/>
          <w:i/>
          <w:sz w:val="28"/>
          <w:lang w:eastAsia="zh-TW"/>
        </w:rPr>
        <w:tab/>
      </w:r>
      <w:r w:rsidR="009B0AE7">
        <w:rPr>
          <w:rFonts w:cs="Arial"/>
          <w:b/>
          <w:i/>
          <w:sz w:val="28"/>
          <w:lang w:eastAsia="zh-TW"/>
        </w:rPr>
        <w:t>R2-1911222</w:t>
      </w:r>
      <w:bookmarkStart w:id="0" w:name="_GoBack"/>
      <w:bookmarkEnd w:id="0"/>
    </w:p>
    <w:p w:rsidR="00066510" w:rsidRDefault="000F7937" w:rsidP="00066510">
      <w:pPr>
        <w:pStyle w:val="CRCoverPage"/>
        <w:spacing w:after="0"/>
        <w:rPr>
          <w:b/>
          <w:noProof/>
          <w:sz w:val="24"/>
          <w:lang w:eastAsia="zh-TW"/>
        </w:rPr>
      </w:pPr>
      <w:r w:rsidRPr="000F7937">
        <w:rPr>
          <w:b/>
          <w:noProof/>
          <w:sz w:val="24"/>
          <w:lang w:eastAsia="zh-TW"/>
        </w:rPr>
        <w:t>Prague, Czech Republic,26th - 30th August 2019</w:t>
      </w:r>
      <w:r w:rsidR="00B109BA">
        <w:rPr>
          <w:b/>
          <w:noProof/>
          <w:sz w:val="24"/>
          <w:lang w:eastAsia="zh-TW"/>
        </w:rPr>
        <w:tab/>
      </w:r>
      <w:r w:rsidR="00B109BA">
        <w:rPr>
          <w:b/>
          <w:noProof/>
          <w:sz w:val="24"/>
          <w:lang w:eastAsia="zh-TW"/>
        </w:rPr>
        <w:tab/>
      </w:r>
      <w:r w:rsidR="00B109BA">
        <w:rPr>
          <w:b/>
          <w:noProof/>
          <w:sz w:val="24"/>
          <w:lang w:eastAsia="zh-TW"/>
        </w:rPr>
        <w:tab/>
      </w:r>
      <w:r w:rsidR="00B109BA">
        <w:rPr>
          <w:b/>
          <w:noProof/>
          <w:sz w:val="24"/>
          <w:lang w:eastAsia="zh-TW"/>
        </w:rPr>
        <w:tab/>
      </w:r>
      <w:r w:rsidR="00B109BA">
        <w:rPr>
          <w:b/>
          <w:noProof/>
          <w:sz w:val="24"/>
          <w:lang w:eastAsia="zh-TW"/>
        </w:rPr>
        <w:tab/>
      </w:r>
      <w:r w:rsidR="00B109BA" w:rsidRPr="00B109BA">
        <w:rPr>
          <w:b/>
          <w:i/>
          <w:sz w:val="24"/>
          <w:lang w:eastAsia="zh-TW"/>
        </w:rPr>
        <w:t xml:space="preserve"> </w:t>
      </w:r>
      <w:r w:rsidR="00B109BA">
        <w:rPr>
          <w:b/>
          <w:i/>
          <w:sz w:val="24"/>
          <w:lang w:eastAsia="zh-TW"/>
        </w:rPr>
        <w:t xml:space="preserve"> </w:t>
      </w:r>
      <w:r w:rsidR="00E36042">
        <w:rPr>
          <w:b/>
          <w:i/>
          <w:sz w:val="24"/>
          <w:lang w:eastAsia="zh-TW"/>
        </w:rPr>
        <w:t xml:space="preserve"> </w:t>
      </w:r>
      <w:r w:rsidR="00B109BA">
        <w:rPr>
          <w:b/>
          <w:i/>
          <w:sz w:val="24"/>
          <w:lang w:eastAsia="zh-TW"/>
        </w:rPr>
        <w:t xml:space="preserve"> </w:t>
      </w:r>
    </w:p>
    <w:p w:rsidR="00DE6200" w:rsidRPr="00CB7CD3" w:rsidRDefault="00BD2AA5" w:rsidP="002D334D">
      <w:pPr>
        <w:pStyle w:val="CRCoverPage"/>
        <w:spacing w:after="0"/>
      </w:pPr>
      <w:r>
        <w:rPr>
          <w:rFonts w:hint="eastAsia"/>
          <w:b/>
          <w:sz w:val="24"/>
          <w:lang w:eastAsia="zh-TW"/>
        </w:rPr>
        <w:t xml:space="preserve">   </w:t>
      </w:r>
      <w:r w:rsidR="00DE6200">
        <w:rPr>
          <w:rFonts w:hint="eastAsia"/>
          <w:b/>
          <w:sz w:val="24"/>
          <w:lang w:eastAsia="zh-TW"/>
        </w:rPr>
        <w:t xml:space="preserve"> </w:t>
      </w:r>
      <w:r w:rsidR="002D334D">
        <w:rPr>
          <w:b/>
          <w:sz w:val="24"/>
          <w:lang w:eastAsia="zh-TW"/>
        </w:rPr>
        <w:t xml:space="preserve">       </w:t>
      </w:r>
      <w:r w:rsidR="00731CA3">
        <w:rPr>
          <w:b/>
          <w:sz w:val="24"/>
          <w:lang w:eastAsia="zh-TW"/>
        </w:rPr>
        <w:t xml:space="preserve">  </w:t>
      </w:r>
      <w:r w:rsidR="00DE6200">
        <w:rPr>
          <w:rFonts w:hint="eastAsia"/>
          <w:b/>
          <w:sz w:val="24"/>
          <w:lang w:eastAsia="zh-TW"/>
        </w:rPr>
        <w:t xml:space="preserve">                           </w:t>
      </w:r>
      <w:r w:rsidR="00DE6200" w:rsidRPr="00CB7CD3">
        <w:rPr>
          <w:b/>
          <w:sz w:val="24"/>
          <w:lang w:eastAsia="zh-TW"/>
        </w:rPr>
        <w:tab/>
      </w:r>
      <w:r w:rsidR="00DE6200" w:rsidRPr="00CB7CD3">
        <w:rPr>
          <w:b/>
          <w:sz w:val="24"/>
          <w:lang w:eastAsia="zh-TW"/>
        </w:rPr>
        <w:tab/>
      </w:r>
      <w:r w:rsidR="00DE6200">
        <w:rPr>
          <w:b/>
          <w:sz w:val="24"/>
          <w:lang w:eastAsia="zh-TW"/>
        </w:rPr>
        <w:t xml:space="preserve">         </w:t>
      </w:r>
    </w:p>
    <w:p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Agenda Item:</w:t>
      </w:r>
      <w:r w:rsidRPr="00CB7CD3">
        <w:rPr>
          <w:rFonts w:ascii="Arial" w:hAnsi="Arial" w:cs="Arial"/>
          <w:sz w:val="22"/>
          <w:szCs w:val="22"/>
          <w:lang w:eastAsia="zh-TW"/>
        </w:rPr>
        <w:tab/>
      </w:r>
      <w:r w:rsidR="00E67622" w:rsidRPr="00E67622">
        <w:rPr>
          <w:rFonts w:ascii="Arial" w:hAnsi="Arial" w:cs="Arial"/>
          <w:sz w:val="22"/>
          <w:szCs w:val="22"/>
          <w:lang w:eastAsia="zh-TW"/>
        </w:rPr>
        <w:t>1</w:t>
      </w:r>
      <w:r w:rsidR="00E67622" w:rsidRPr="002B5406">
        <w:rPr>
          <w:rFonts w:ascii="Arial" w:hAnsi="Arial" w:cs="Arial"/>
          <w:sz w:val="22"/>
          <w:szCs w:val="22"/>
          <w:lang w:eastAsia="zh-TW"/>
        </w:rPr>
        <w:t>1.4.</w:t>
      </w:r>
      <w:r w:rsidR="00723462">
        <w:rPr>
          <w:rFonts w:ascii="Arial" w:hAnsi="Arial" w:cs="Arial"/>
          <w:sz w:val="22"/>
          <w:szCs w:val="22"/>
          <w:lang w:eastAsia="zh-TW"/>
        </w:rPr>
        <w:t>2</w:t>
      </w:r>
      <w:r w:rsidR="00EF09C7" w:rsidRPr="00EF09C7">
        <w:rPr>
          <w:rFonts w:ascii="Arial" w:hAnsi="Arial" w:cs="Arial"/>
          <w:sz w:val="22"/>
          <w:szCs w:val="22"/>
          <w:lang w:eastAsia="zh-TW"/>
        </w:rPr>
        <w:tab/>
      </w:r>
    </w:p>
    <w:p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676CB6">
        <w:rPr>
          <w:rFonts w:ascii="Arial" w:hAnsi="Arial" w:cs="Arial"/>
          <w:sz w:val="22"/>
          <w:szCs w:val="22"/>
          <w:lang w:val="en-US" w:eastAsia="zh-TW"/>
        </w:rPr>
        <w:t>Discussion on handling multiple SL communication</w:t>
      </w:r>
    </w:p>
    <w:p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rsidR="007F46AF" w:rsidRPr="007F46AF" w:rsidRDefault="007F46AF" w:rsidP="007F46AF">
      <w:pPr>
        <w:rPr>
          <w:rFonts w:ascii="Times New Roman" w:hAnsi="Times New Roman" w:cs="Times New Roman"/>
          <w:sz w:val="22"/>
          <w:lang w:val="en-GB"/>
        </w:rPr>
      </w:pPr>
      <w:r w:rsidRPr="007F46AF">
        <w:rPr>
          <w:rFonts w:ascii="Times New Roman" w:hAnsi="Times New Roman" w:cs="Times New Roman"/>
          <w:sz w:val="22"/>
          <w:lang w:val="en-GB"/>
        </w:rPr>
        <w:t>In 3GPP RAN2#103bis meeting, it is agreed that unicast, groupcast and broadcast will be supported in NR V2X:</w:t>
      </w:r>
    </w:p>
    <w:p w:rsidR="007F46AF" w:rsidRPr="007F46AF" w:rsidRDefault="007F46AF" w:rsidP="007F46AF">
      <w:pPr>
        <w:pBdr>
          <w:top w:val="single" w:sz="4" w:space="1" w:color="auto"/>
          <w:left w:val="single" w:sz="4" w:space="4" w:color="auto"/>
          <w:bottom w:val="single" w:sz="4" w:space="1" w:color="auto"/>
          <w:right w:val="single" w:sz="4" w:space="4" w:color="auto"/>
        </w:pBdr>
        <w:rPr>
          <w:rFonts w:ascii="Times New Roman" w:hAnsi="Times New Roman" w:cs="Times New Roman"/>
          <w:sz w:val="22"/>
          <w:lang w:val="en-GB"/>
        </w:rPr>
      </w:pPr>
      <w:r w:rsidRPr="007F46AF">
        <w:rPr>
          <w:rFonts w:ascii="Times New Roman" w:hAnsi="Times New Roman" w:cs="Times New Roman"/>
          <w:sz w:val="22"/>
          <w:lang w:val="en-GB"/>
        </w:rPr>
        <w:t>Agreements</w:t>
      </w:r>
    </w:p>
    <w:p w:rsidR="007F46AF" w:rsidRDefault="007F46AF" w:rsidP="007F46AF">
      <w:pPr>
        <w:pBdr>
          <w:top w:val="single" w:sz="4" w:space="1" w:color="auto"/>
          <w:left w:val="single" w:sz="4" w:space="4" w:color="auto"/>
          <w:bottom w:val="single" w:sz="4" w:space="1" w:color="auto"/>
          <w:right w:val="single" w:sz="4" w:space="4" w:color="auto"/>
        </w:pBdr>
        <w:rPr>
          <w:rFonts w:ascii="Times New Roman" w:hAnsi="Times New Roman" w:cs="Times New Roman"/>
          <w:sz w:val="22"/>
          <w:lang w:val="en-GB"/>
        </w:rPr>
      </w:pPr>
      <w:r w:rsidRPr="007F46AF">
        <w:rPr>
          <w:rFonts w:ascii="Times New Roman" w:hAnsi="Times New Roman" w:cs="Times New Roman"/>
          <w:sz w:val="22"/>
          <w:lang w:val="en-GB"/>
        </w:rPr>
        <w:t xml:space="preserve">1: </w:t>
      </w:r>
      <w:r w:rsidRPr="007F46AF">
        <w:rPr>
          <w:rFonts w:ascii="Times New Roman" w:hAnsi="Times New Roman" w:cs="Times New Roman"/>
          <w:sz w:val="22"/>
          <w:lang w:val="en-GB"/>
        </w:rPr>
        <w:tab/>
        <w:t>Unicast, groupcast, and broadcast should be supported for all of the in-coverage, out-of-coverage, and partial coverage scenarios.</w:t>
      </w:r>
    </w:p>
    <w:p w:rsidR="002F2795" w:rsidRPr="002F2795" w:rsidRDefault="002F2795" w:rsidP="007F46AF">
      <w:pPr>
        <w:pBdr>
          <w:top w:val="single" w:sz="4" w:space="1" w:color="auto"/>
          <w:left w:val="single" w:sz="4" w:space="4" w:color="auto"/>
          <w:bottom w:val="single" w:sz="4" w:space="1" w:color="auto"/>
          <w:right w:val="single" w:sz="4" w:space="4" w:color="auto"/>
        </w:pBdr>
        <w:rPr>
          <w:rFonts w:ascii="Times New Roman" w:hAnsi="Times New Roman" w:cs="Times New Roman"/>
          <w:sz w:val="22"/>
        </w:rPr>
      </w:pPr>
    </w:p>
    <w:p w:rsidR="00E07866" w:rsidRDefault="00E07866" w:rsidP="00A55C89">
      <w:pPr>
        <w:rPr>
          <w:rFonts w:ascii="Times New Roman" w:hAnsi="Times New Roman" w:cs="Times New Roman"/>
          <w:sz w:val="22"/>
        </w:rPr>
      </w:pPr>
      <w:r>
        <w:rPr>
          <w:rFonts w:ascii="Times New Roman" w:hAnsi="Times New Roman" w:cs="Times New Roman"/>
          <w:sz w:val="22"/>
        </w:rPr>
        <w:t>In RAN</w:t>
      </w:r>
      <w:r w:rsidR="00440B02">
        <w:rPr>
          <w:rFonts w:ascii="Times New Roman" w:hAnsi="Times New Roman" w:cs="Times New Roman"/>
          <w:sz w:val="22"/>
        </w:rPr>
        <w:t>1</w:t>
      </w:r>
      <w:r>
        <w:rPr>
          <w:rFonts w:ascii="Times New Roman" w:hAnsi="Times New Roman" w:cs="Times New Roman"/>
          <w:sz w:val="22"/>
        </w:rPr>
        <w:t>#</w:t>
      </w:r>
      <w:r w:rsidR="00440B02">
        <w:rPr>
          <w:rFonts w:ascii="Times New Roman" w:hAnsi="Times New Roman" w:cs="Times New Roman"/>
          <w:sz w:val="22"/>
        </w:rPr>
        <w:t>9</w:t>
      </w:r>
      <w:r w:rsidR="007F46AF">
        <w:rPr>
          <w:rFonts w:ascii="Times New Roman" w:hAnsi="Times New Roman" w:cs="Times New Roman"/>
          <w:sz w:val="22"/>
        </w:rPr>
        <w:t>5</w:t>
      </w:r>
      <w:r>
        <w:rPr>
          <w:rFonts w:ascii="Times New Roman" w:hAnsi="Times New Roman" w:cs="Times New Roman"/>
          <w:sz w:val="22"/>
        </w:rPr>
        <w:t xml:space="preserve"> meeting, an agreement has been made regarding </w:t>
      </w:r>
      <w:r w:rsidR="007F46AF">
        <w:rPr>
          <w:rFonts w:ascii="Times New Roman" w:hAnsi="Times New Roman" w:cs="Times New Roman"/>
          <w:sz w:val="22"/>
        </w:rPr>
        <w:t>supporting HARQ feedback in unicast and groupcast</w:t>
      </w:r>
      <w:r>
        <w:rPr>
          <w:rFonts w:ascii="Times New Roman" w:hAnsi="Times New Roman" w:cs="Times New Roman"/>
          <w:sz w:val="22"/>
        </w:rPr>
        <w:t>:</w:t>
      </w:r>
    </w:p>
    <w:tbl>
      <w:tblPr>
        <w:tblStyle w:val="ac"/>
        <w:tblW w:w="0" w:type="auto"/>
        <w:tblLook w:val="04A0" w:firstRow="1" w:lastRow="0" w:firstColumn="1" w:lastColumn="0" w:noHBand="0" w:noVBand="1"/>
      </w:tblPr>
      <w:tblGrid>
        <w:gridCol w:w="9628"/>
      </w:tblGrid>
      <w:tr w:rsidR="00E00B6D" w:rsidTr="00E00B6D">
        <w:tc>
          <w:tcPr>
            <w:tcW w:w="9628" w:type="dxa"/>
          </w:tcPr>
          <w:p w:rsidR="00E00B6D" w:rsidRPr="00F75CD0" w:rsidRDefault="00E00B6D" w:rsidP="00E00B6D">
            <w:pPr>
              <w:rPr>
                <w:rFonts w:ascii="Times New Roman" w:hAnsi="Times New Roman"/>
                <w:szCs w:val="20"/>
                <w:lang w:eastAsia="x-none"/>
              </w:rPr>
            </w:pPr>
            <w:r w:rsidRPr="00F75CD0">
              <w:rPr>
                <w:rFonts w:ascii="Times New Roman" w:hAnsi="Times New Roman"/>
                <w:szCs w:val="20"/>
                <w:highlight w:val="green"/>
                <w:lang w:eastAsia="x-none"/>
              </w:rPr>
              <w:t>Agreements</w:t>
            </w:r>
            <w:r w:rsidRPr="00F75CD0">
              <w:rPr>
                <w:rFonts w:ascii="Times New Roman" w:hAnsi="Times New Roman"/>
                <w:szCs w:val="20"/>
                <w:lang w:eastAsia="x-none"/>
              </w:rPr>
              <w:t>:</w:t>
            </w:r>
          </w:p>
          <w:p w:rsidR="00E00B6D" w:rsidRPr="00F75CD0" w:rsidRDefault="00E00B6D" w:rsidP="00E00B6D">
            <w:pPr>
              <w:pStyle w:val="LGTdoc"/>
              <w:numPr>
                <w:ilvl w:val="0"/>
                <w:numId w:val="3"/>
              </w:numPr>
              <w:spacing w:afterLines="0" w:after="0"/>
              <w:rPr>
                <w:sz w:val="20"/>
                <w:szCs w:val="20"/>
                <w:lang w:val="en-US"/>
              </w:rPr>
            </w:pPr>
            <w:r w:rsidRPr="00F75CD0">
              <w:rPr>
                <w:sz w:val="20"/>
                <w:szCs w:val="20"/>
                <w:lang w:val="en-US"/>
              </w:rPr>
              <w:t>It is supported to enable and disable SL HARQ feedback in unicast and groupcast.</w:t>
            </w:r>
          </w:p>
          <w:p w:rsidR="00E00B6D" w:rsidRPr="00F75CD0" w:rsidRDefault="00E00B6D" w:rsidP="00E00B6D">
            <w:pPr>
              <w:pStyle w:val="LGTdoc"/>
              <w:numPr>
                <w:ilvl w:val="1"/>
                <w:numId w:val="3"/>
              </w:numPr>
              <w:spacing w:afterLines="0" w:after="0"/>
              <w:rPr>
                <w:sz w:val="20"/>
                <w:szCs w:val="20"/>
                <w:lang w:val="en-US"/>
              </w:rPr>
            </w:pPr>
            <w:r w:rsidRPr="00F75CD0">
              <w:rPr>
                <w:sz w:val="20"/>
                <w:szCs w:val="20"/>
                <w:lang w:val="en-US"/>
              </w:rPr>
              <w:t>FFS when HARQ feedback is enabled and disabled.</w:t>
            </w:r>
          </w:p>
          <w:p w:rsidR="00E00B6D" w:rsidRPr="00E00B6D" w:rsidRDefault="00E00B6D" w:rsidP="00A55C89">
            <w:pPr>
              <w:rPr>
                <w:rFonts w:ascii="Times New Roman" w:hAnsi="Times New Roman" w:cs="Times New Roman"/>
                <w:sz w:val="22"/>
              </w:rPr>
            </w:pPr>
          </w:p>
        </w:tc>
      </w:tr>
    </w:tbl>
    <w:p w:rsidR="00E00B6D" w:rsidRDefault="00E00B6D" w:rsidP="00A55C89">
      <w:pPr>
        <w:rPr>
          <w:rFonts w:ascii="Times New Roman" w:hAnsi="Times New Roman" w:cs="Times New Roman"/>
          <w:sz w:val="22"/>
        </w:rPr>
      </w:pPr>
    </w:p>
    <w:p w:rsidR="006105B4" w:rsidRPr="00A0651C" w:rsidRDefault="00E07866" w:rsidP="00FC5609">
      <w:pPr>
        <w:spacing w:before="240"/>
        <w:rPr>
          <w:rFonts w:ascii="Times New Roman" w:hAnsi="Times New Roman" w:cs="Times New Roman"/>
          <w:sz w:val="22"/>
        </w:rPr>
      </w:pPr>
      <w:r>
        <w:rPr>
          <w:rFonts w:ascii="Times New Roman" w:hAnsi="Times New Roman" w:cs="Times New Roman" w:hint="eastAsia"/>
          <w:sz w:val="22"/>
        </w:rPr>
        <w:t xml:space="preserve">In </w:t>
      </w:r>
      <w:r>
        <w:rPr>
          <w:rFonts w:ascii="Times New Roman" w:hAnsi="Times New Roman" w:cs="Times New Roman"/>
          <w:sz w:val="22"/>
        </w:rPr>
        <w:t>this</w:t>
      </w:r>
      <w:r>
        <w:rPr>
          <w:rFonts w:ascii="Times New Roman" w:hAnsi="Times New Roman" w:cs="Times New Roman" w:hint="eastAsia"/>
          <w:sz w:val="22"/>
        </w:rPr>
        <w:t xml:space="preserve"> </w:t>
      </w:r>
      <w:r w:rsidR="005637D8">
        <w:rPr>
          <w:rFonts w:ascii="Times New Roman" w:hAnsi="Times New Roman" w:cs="Times New Roman"/>
          <w:sz w:val="22"/>
        </w:rPr>
        <w:t>contribution</w:t>
      </w:r>
      <w:r>
        <w:rPr>
          <w:rFonts w:ascii="Times New Roman" w:hAnsi="Times New Roman" w:cs="Times New Roman" w:hint="eastAsia"/>
          <w:sz w:val="22"/>
        </w:rPr>
        <w:t xml:space="preserve">, we discuss </w:t>
      </w:r>
      <w:r w:rsidR="006C34E2">
        <w:rPr>
          <w:rFonts w:ascii="Times New Roman" w:hAnsi="Times New Roman" w:cs="Times New Roman"/>
          <w:sz w:val="22"/>
        </w:rPr>
        <w:t>procedure</w:t>
      </w:r>
      <w:r w:rsidR="00EA44B2">
        <w:rPr>
          <w:rFonts w:ascii="Times New Roman" w:hAnsi="Times New Roman" w:cs="Times New Roman"/>
          <w:sz w:val="22"/>
        </w:rPr>
        <w:t xml:space="preserve"> </w:t>
      </w:r>
      <w:r w:rsidR="006C34E2">
        <w:rPr>
          <w:rFonts w:ascii="Times New Roman" w:hAnsi="Times New Roman" w:cs="Times New Roman"/>
          <w:sz w:val="22"/>
        </w:rPr>
        <w:t xml:space="preserve">regarding </w:t>
      </w:r>
      <w:r w:rsidR="002F2795">
        <w:rPr>
          <w:rFonts w:ascii="Times New Roman" w:hAnsi="Times New Roman" w:cs="Times New Roman"/>
          <w:sz w:val="22"/>
        </w:rPr>
        <w:t>handling SL communication of different cast types in MAC layer</w:t>
      </w:r>
      <w:r w:rsidR="00EA44B2">
        <w:rPr>
          <w:rFonts w:ascii="Times New Roman" w:hAnsi="Times New Roman" w:cs="Times New Roman"/>
          <w:sz w:val="22"/>
        </w:rPr>
        <w:t>.</w:t>
      </w:r>
    </w:p>
    <w:p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rsidR="004077B2" w:rsidRDefault="002F2795" w:rsidP="00FC5609">
      <w:pPr>
        <w:spacing w:after="240"/>
        <w:jc w:val="both"/>
        <w:rPr>
          <w:rFonts w:ascii="Times New Roman" w:hAnsi="Times New Roman" w:cs="Times New Roman"/>
          <w:sz w:val="22"/>
          <w:lang w:val="en-GB"/>
        </w:rPr>
      </w:pPr>
      <w:r>
        <w:rPr>
          <w:rFonts w:ascii="Times New Roman" w:hAnsi="Times New Roman" w:cs="Times New Roman"/>
          <w:sz w:val="22"/>
          <w:lang w:val="en-GB"/>
        </w:rPr>
        <w:t>According to previous meeting</w:t>
      </w:r>
      <w:r w:rsidR="00474EC6">
        <w:rPr>
          <w:rFonts w:ascii="Times New Roman" w:hAnsi="Times New Roman" w:cs="Times New Roman"/>
          <w:sz w:val="22"/>
          <w:lang w:val="en-GB"/>
        </w:rPr>
        <w:t>s</w:t>
      </w:r>
      <w:r>
        <w:rPr>
          <w:rFonts w:ascii="Times New Roman" w:hAnsi="Times New Roman" w:cs="Times New Roman"/>
          <w:sz w:val="22"/>
          <w:lang w:val="en-GB"/>
        </w:rPr>
        <w:t xml:space="preserve">, it has been agreed that sidelink unicast, groupcast and broadcast are supported in NR V2X. In addition, </w:t>
      </w:r>
      <w:r w:rsidR="004077B2">
        <w:rPr>
          <w:rFonts w:ascii="Times New Roman" w:hAnsi="Times New Roman" w:cs="Times New Roman"/>
          <w:sz w:val="22"/>
          <w:lang w:val="en-GB"/>
        </w:rPr>
        <w:t xml:space="preserve">SL </w:t>
      </w:r>
      <w:r w:rsidR="00474EC6">
        <w:rPr>
          <w:rFonts w:ascii="Times New Roman" w:hAnsi="Times New Roman" w:cs="Times New Roman"/>
          <w:sz w:val="22"/>
          <w:lang w:val="en-GB"/>
        </w:rPr>
        <w:t xml:space="preserve">HARQ feedback </w:t>
      </w:r>
      <w:r w:rsidR="004077B2">
        <w:rPr>
          <w:rFonts w:ascii="Times New Roman" w:hAnsi="Times New Roman" w:cs="Times New Roman"/>
          <w:sz w:val="22"/>
          <w:lang w:val="en-GB"/>
        </w:rPr>
        <w:t xml:space="preserve">(for HARQ retransmission) is supported for unicast and groupcast. RAN1 has been designing SCI content for different cast types </w:t>
      </w:r>
      <w:r w:rsidR="00F92A65">
        <w:rPr>
          <w:rFonts w:ascii="Times New Roman" w:hAnsi="Times New Roman" w:cs="Times New Roman"/>
          <w:sz w:val="22"/>
          <w:lang w:val="en-GB"/>
        </w:rPr>
        <w:t xml:space="preserve">in RAN1#97 </w:t>
      </w:r>
      <w:r w:rsidR="004077B2">
        <w:rPr>
          <w:rFonts w:ascii="Times New Roman" w:hAnsi="Times New Roman" w:cs="Times New Roman"/>
          <w:sz w:val="22"/>
          <w:lang w:val="en-GB"/>
        </w:rPr>
        <w:t>without reaching consensus:</w:t>
      </w:r>
    </w:p>
    <w:tbl>
      <w:tblPr>
        <w:tblW w:w="9850" w:type="dxa"/>
        <w:tblInd w:w="-5" w:type="dxa"/>
        <w:tblCellMar>
          <w:left w:w="99" w:type="dxa"/>
          <w:right w:w="99" w:type="dxa"/>
        </w:tblCellMar>
        <w:tblLook w:val="04A0" w:firstRow="1" w:lastRow="0" w:firstColumn="1" w:lastColumn="0" w:noHBand="0" w:noVBand="1"/>
      </w:tblPr>
      <w:tblGrid>
        <w:gridCol w:w="2505"/>
        <w:gridCol w:w="2108"/>
        <w:gridCol w:w="1337"/>
        <w:gridCol w:w="2011"/>
        <w:gridCol w:w="1889"/>
      </w:tblGrid>
      <w:tr w:rsidR="004077B2" w:rsidRPr="00295CC7" w:rsidTr="00E35083">
        <w:trPr>
          <w:trHeight w:val="235"/>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Bit field</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candidate size</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unicast</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groupcast</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broadcast</w:t>
            </w:r>
          </w:p>
        </w:tc>
      </w:tr>
      <w:tr w:rsidR="004077B2" w:rsidRPr="00295CC7" w:rsidTr="00E35083">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77B2" w:rsidRPr="008B776F" w:rsidRDefault="004077B2" w:rsidP="00E35083">
            <w:pPr>
              <w:rPr>
                <w:rFonts w:eastAsia="Malgun Gothic"/>
                <w:sz w:val="22"/>
                <w:lang w:eastAsia="ko-KR"/>
              </w:rPr>
            </w:pPr>
            <w:r w:rsidRPr="008B776F">
              <w:rPr>
                <w:rFonts w:eastAsia="Malgun Gothic"/>
                <w:sz w:val="22"/>
                <w:lang w:eastAsia="ko-KR"/>
              </w:rPr>
              <w:t>HARQ process number</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rPr>
                <w:rFonts w:eastAsia="Malgun Gothic"/>
                <w:sz w:val="22"/>
                <w:lang w:eastAsia="ko-KR"/>
              </w:rPr>
            </w:pPr>
            <w:r w:rsidRPr="00295CC7">
              <w:rPr>
                <w:rFonts w:eastAsia="Malgun Gothic"/>
                <w:sz w:val="22"/>
                <w:lang w:eastAsia="ko-KR"/>
              </w:rPr>
              <w:t>[1-4]</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FFS</w:t>
            </w:r>
            <w:r w:rsidRPr="00295CC7">
              <w:rPr>
                <w:rFonts w:eastAsia="Malgun Gothic"/>
                <w:sz w:val="22"/>
                <w:lang w:eastAsia="ko-KR"/>
              </w:rPr>
              <w:t xml:space="preserve">　　</w:t>
            </w:r>
          </w:p>
        </w:tc>
      </w:tr>
      <w:tr w:rsidR="004077B2" w:rsidRPr="00295CC7" w:rsidTr="00E35083">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77B2" w:rsidRPr="008B776F" w:rsidRDefault="004077B2" w:rsidP="00E35083">
            <w:pPr>
              <w:rPr>
                <w:rFonts w:eastAsia="Malgun Gothic"/>
                <w:sz w:val="22"/>
                <w:lang w:eastAsia="ko-KR"/>
              </w:rPr>
            </w:pPr>
            <w:r w:rsidRPr="008B776F">
              <w:rPr>
                <w:rFonts w:eastAsia="Malgun Gothic"/>
                <w:sz w:val="22"/>
                <w:lang w:eastAsia="ko-KR"/>
              </w:rPr>
              <w:t>NDI</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rPr>
                <w:rFonts w:eastAsia="Malgun Gothic"/>
                <w:sz w:val="22"/>
                <w:lang w:eastAsia="ko-KR"/>
              </w:rPr>
            </w:pPr>
            <w:r w:rsidRPr="00295CC7">
              <w:rPr>
                <w:rFonts w:eastAsia="Malgun Gothic"/>
                <w:sz w:val="22"/>
                <w:lang w:eastAsia="ko-KR"/>
              </w:rPr>
              <w:t>1</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FFS</w:t>
            </w:r>
            <w:r w:rsidRPr="00295CC7">
              <w:rPr>
                <w:rFonts w:eastAsia="Malgun Gothic"/>
                <w:sz w:val="22"/>
                <w:lang w:eastAsia="ko-KR"/>
              </w:rPr>
              <w:t xml:space="preserve">　　</w:t>
            </w:r>
          </w:p>
        </w:tc>
      </w:tr>
      <w:tr w:rsidR="004077B2" w:rsidRPr="00295CC7" w:rsidTr="00E35083">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77B2" w:rsidRPr="008B776F" w:rsidRDefault="004077B2" w:rsidP="00E35083">
            <w:pPr>
              <w:rPr>
                <w:rFonts w:eastAsia="Malgun Gothic"/>
                <w:sz w:val="22"/>
                <w:lang w:eastAsia="ko-KR"/>
              </w:rPr>
            </w:pPr>
            <w:r w:rsidRPr="008B776F">
              <w:rPr>
                <w:rFonts w:eastAsia="Malgun Gothic"/>
                <w:sz w:val="22"/>
                <w:lang w:eastAsia="ko-KR"/>
              </w:rPr>
              <w:t>RV</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rPr>
                <w:rFonts w:eastAsia="Malgun Gothic"/>
                <w:sz w:val="22"/>
                <w:lang w:eastAsia="ko-KR"/>
              </w:rPr>
            </w:pPr>
            <w:r w:rsidRPr="00295CC7">
              <w:rPr>
                <w:rFonts w:eastAsia="Malgun Gothic"/>
                <w:sz w:val="22"/>
                <w:lang w:eastAsia="ko-KR"/>
              </w:rPr>
              <w:t>2</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FFS</w:t>
            </w:r>
            <w:r w:rsidRPr="00295CC7">
              <w:rPr>
                <w:rFonts w:eastAsia="Malgun Gothic"/>
                <w:sz w:val="22"/>
                <w:lang w:eastAsia="ko-KR"/>
              </w:rPr>
              <w:t xml:space="preserve">　　</w:t>
            </w:r>
          </w:p>
        </w:tc>
      </w:tr>
      <w:tr w:rsidR="004077B2" w:rsidRPr="00295CC7" w:rsidTr="00E35083">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77B2" w:rsidRPr="008B776F" w:rsidRDefault="004077B2" w:rsidP="00E35083">
            <w:pPr>
              <w:rPr>
                <w:rFonts w:eastAsia="Malgun Gothic"/>
                <w:sz w:val="22"/>
                <w:lang w:eastAsia="ko-KR"/>
              </w:rPr>
            </w:pPr>
            <w:r w:rsidRPr="008B776F">
              <w:rPr>
                <w:rFonts w:eastAsia="Malgun Gothic"/>
                <w:sz w:val="22"/>
                <w:lang w:eastAsia="ko-KR"/>
              </w:rPr>
              <w:t>Layer-1 source ID</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rPr>
                <w:rFonts w:eastAsia="Malgun Gothic"/>
                <w:sz w:val="22"/>
                <w:lang w:eastAsia="ko-KR"/>
              </w:rPr>
            </w:pPr>
            <w:r w:rsidRPr="00295CC7">
              <w:rPr>
                <w:rFonts w:eastAsia="Malgun Gothic"/>
                <w:sz w:val="22"/>
                <w:lang w:eastAsia="ko-KR"/>
              </w:rPr>
              <w:t>[8-24]</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hint="eastAsia"/>
                <w:sz w:val="22"/>
                <w:lang w:eastAsia="ko-KR"/>
              </w:rPr>
              <w:t>FFS</w:t>
            </w:r>
          </w:p>
        </w:tc>
      </w:tr>
      <w:tr w:rsidR="004077B2" w:rsidRPr="00295CC7" w:rsidTr="00E35083">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77B2" w:rsidRPr="008B776F" w:rsidRDefault="004077B2" w:rsidP="00E35083">
            <w:pPr>
              <w:rPr>
                <w:rFonts w:eastAsia="Malgun Gothic"/>
                <w:sz w:val="22"/>
                <w:lang w:eastAsia="ko-KR"/>
              </w:rPr>
            </w:pPr>
            <w:r w:rsidRPr="008B776F">
              <w:rPr>
                <w:rFonts w:eastAsia="Malgun Gothic"/>
                <w:sz w:val="22"/>
                <w:lang w:eastAsia="ko-KR"/>
              </w:rPr>
              <w:t xml:space="preserve">Layer-1 destination ID </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rPr>
                <w:rFonts w:eastAsia="Malgun Gothic"/>
                <w:sz w:val="22"/>
                <w:lang w:eastAsia="ko-KR"/>
              </w:rPr>
            </w:pPr>
            <w:r w:rsidRPr="00295CC7">
              <w:rPr>
                <w:rFonts w:eastAsia="Malgun Gothic"/>
                <w:sz w:val="22"/>
                <w:lang w:eastAsia="ko-KR"/>
              </w:rPr>
              <w:t>[8-24]</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FFS</w:t>
            </w:r>
          </w:p>
        </w:tc>
      </w:tr>
      <w:tr w:rsidR="004077B2" w:rsidRPr="00295CC7" w:rsidTr="00E35083">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77B2" w:rsidRPr="008B776F" w:rsidRDefault="004077B2" w:rsidP="00E35083">
            <w:pPr>
              <w:rPr>
                <w:rFonts w:eastAsia="Malgun Gothic"/>
                <w:sz w:val="22"/>
                <w:lang w:eastAsia="ko-KR"/>
              </w:rPr>
            </w:pPr>
            <w:r w:rsidRPr="008B776F">
              <w:rPr>
                <w:rFonts w:eastAsia="Malgun Gothic"/>
                <w:sz w:val="22"/>
                <w:lang w:eastAsia="ko-KR"/>
              </w:rPr>
              <w:lastRenderedPageBreak/>
              <w:t>MCS</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rPr>
                <w:rFonts w:eastAsia="Malgun Gothic"/>
                <w:sz w:val="22"/>
                <w:lang w:eastAsia="ko-KR"/>
              </w:rPr>
            </w:pPr>
            <w:r w:rsidRPr="00295CC7">
              <w:rPr>
                <w:rFonts w:eastAsia="Malgun Gothic"/>
                <w:sz w:val="22"/>
                <w:lang w:eastAsia="ko-KR"/>
              </w:rPr>
              <w:t>[5]</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r>
      <w:tr w:rsidR="004077B2" w:rsidRPr="00295CC7" w:rsidTr="00E35083">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77B2" w:rsidRPr="008B776F" w:rsidRDefault="004077B2" w:rsidP="00E35083">
            <w:pPr>
              <w:rPr>
                <w:rFonts w:eastAsia="Malgun Gothic"/>
                <w:sz w:val="22"/>
                <w:lang w:eastAsia="ko-KR"/>
              </w:rPr>
            </w:pPr>
            <w:r w:rsidRPr="008B776F">
              <w:rPr>
                <w:rFonts w:eastAsia="Malgun Gothic"/>
                <w:sz w:val="22"/>
                <w:lang w:eastAsia="ko-KR"/>
              </w:rPr>
              <w:t>CRC</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rPr>
                <w:rFonts w:eastAsia="Malgun Gothic"/>
                <w:sz w:val="22"/>
                <w:lang w:eastAsia="ko-KR"/>
              </w:rPr>
            </w:pPr>
            <w:r w:rsidRPr="00295CC7">
              <w:rPr>
                <w:rFonts w:eastAsia="Malgun Gothic"/>
                <w:sz w:val="22"/>
                <w:lang w:eastAsia="ko-KR"/>
              </w:rPr>
              <w:t>24</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r>
      <w:tr w:rsidR="004077B2" w:rsidRPr="00295CC7" w:rsidTr="00E35083">
        <w:trPr>
          <w:trHeight w:val="330"/>
        </w:trPr>
        <w:tc>
          <w:tcPr>
            <w:tcW w:w="2505" w:type="dxa"/>
            <w:tcBorders>
              <w:top w:val="nil"/>
              <w:left w:val="single" w:sz="4" w:space="0" w:color="auto"/>
              <w:bottom w:val="single" w:sz="4" w:space="0" w:color="auto"/>
              <w:right w:val="single" w:sz="4" w:space="0" w:color="auto"/>
            </w:tcBorders>
            <w:shd w:val="clear" w:color="auto" w:fill="auto"/>
            <w:vAlign w:val="center"/>
            <w:hideMark/>
          </w:tcPr>
          <w:p w:rsidR="004077B2" w:rsidRPr="00295CC7" w:rsidRDefault="004077B2" w:rsidP="00E35083">
            <w:pPr>
              <w:rPr>
                <w:rFonts w:eastAsia="Malgun Gothic"/>
                <w:sz w:val="22"/>
                <w:lang w:eastAsia="ko-KR"/>
              </w:rPr>
            </w:pPr>
            <w:r w:rsidRPr="00295CC7">
              <w:rPr>
                <w:rFonts w:eastAsia="Malgun Gothic"/>
                <w:sz w:val="22"/>
                <w:lang w:eastAsia="ko-KR"/>
              </w:rPr>
              <w:t>QoS indication</w:t>
            </w:r>
          </w:p>
        </w:tc>
        <w:tc>
          <w:tcPr>
            <w:tcW w:w="2108" w:type="dxa"/>
            <w:tcBorders>
              <w:top w:val="nil"/>
              <w:left w:val="nil"/>
              <w:bottom w:val="single" w:sz="4" w:space="0" w:color="auto"/>
              <w:right w:val="single" w:sz="4" w:space="0" w:color="auto"/>
            </w:tcBorders>
            <w:shd w:val="clear" w:color="auto" w:fill="auto"/>
            <w:vAlign w:val="center"/>
            <w:hideMark/>
          </w:tcPr>
          <w:p w:rsidR="004077B2" w:rsidRPr="00295CC7" w:rsidRDefault="004077B2" w:rsidP="00E35083">
            <w:pPr>
              <w:rPr>
                <w:rFonts w:eastAsia="Malgun Gothic"/>
                <w:sz w:val="22"/>
                <w:lang w:eastAsia="ko-KR"/>
              </w:rPr>
            </w:pPr>
            <w:r w:rsidRPr="00295CC7">
              <w:rPr>
                <w:rFonts w:eastAsia="Malgun Gothic"/>
                <w:sz w:val="22"/>
                <w:lang w:eastAsia="ko-KR"/>
              </w:rPr>
              <w:t>3</w:t>
            </w:r>
          </w:p>
        </w:tc>
        <w:tc>
          <w:tcPr>
            <w:tcW w:w="1337" w:type="dxa"/>
            <w:tcBorders>
              <w:top w:val="nil"/>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c>
          <w:tcPr>
            <w:tcW w:w="2011" w:type="dxa"/>
            <w:tcBorders>
              <w:top w:val="nil"/>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c>
          <w:tcPr>
            <w:tcW w:w="1889" w:type="dxa"/>
            <w:tcBorders>
              <w:top w:val="nil"/>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r>
      <w:tr w:rsidR="004077B2" w:rsidRPr="00295CC7" w:rsidTr="00E35083">
        <w:trPr>
          <w:trHeight w:val="330"/>
        </w:trPr>
        <w:tc>
          <w:tcPr>
            <w:tcW w:w="2505" w:type="dxa"/>
            <w:tcBorders>
              <w:top w:val="nil"/>
              <w:left w:val="single" w:sz="4" w:space="0" w:color="auto"/>
              <w:bottom w:val="single" w:sz="4" w:space="0" w:color="auto"/>
              <w:right w:val="single" w:sz="4" w:space="0" w:color="auto"/>
            </w:tcBorders>
            <w:shd w:val="clear" w:color="auto" w:fill="auto"/>
            <w:vAlign w:val="center"/>
            <w:hideMark/>
          </w:tcPr>
          <w:p w:rsidR="004077B2" w:rsidRPr="00295CC7" w:rsidRDefault="004077B2" w:rsidP="00E35083">
            <w:pPr>
              <w:rPr>
                <w:rFonts w:eastAsia="Malgun Gothic"/>
                <w:sz w:val="22"/>
                <w:lang w:eastAsia="ko-KR"/>
              </w:rPr>
            </w:pPr>
            <w:r w:rsidRPr="00295CC7">
              <w:rPr>
                <w:rFonts w:eastAsia="Malgun Gothic"/>
                <w:sz w:val="22"/>
                <w:lang w:eastAsia="ko-KR"/>
              </w:rPr>
              <w:t>CSI request</w:t>
            </w:r>
          </w:p>
        </w:tc>
        <w:tc>
          <w:tcPr>
            <w:tcW w:w="2108" w:type="dxa"/>
            <w:tcBorders>
              <w:top w:val="nil"/>
              <w:left w:val="nil"/>
              <w:bottom w:val="single" w:sz="4" w:space="0" w:color="auto"/>
              <w:right w:val="single" w:sz="4" w:space="0" w:color="auto"/>
            </w:tcBorders>
            <w:shd w:val="clear" w:color="auto" w:fill="auto"/>
            <w:vAlign w:val="center"/>
            <w:hideMark/>
          </w:tcPr>
          <w:p w:rsidR="004077B2" w:rsidRPr="00295CC7" w:rsidRDefault="004077B2" w:rsidP="00E35083">
            <w:pPr>
              <w:rPr>
                <w:rFonts w:eastAsia="Malgun Gothic"/>
                <w:sz w:val="22"/>
                <w:lang w:eastAsia="ko-KR"/>
              </w:rPr>
            </w:pPr>
            <w:r w:rsidRPr="00295CC7">
              <w:rPr>
                <w:rFonts w:eastAsia="Malgun Gothic"/>
                <w:sz w:val="22"/>
                <w:lang w:eastAsia="ko-KR"/>
              </w:rPr>
              <w:t>[1]</w:t>
            </w:r>
          </w:p>
        </w:tc>
        <w:tc>
          <w:tcPr>
            <w:tcW w:w="1337" w:type="dxa"/>
            <w:tcBorders>
              <w:top w:val="nil"/>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c>
          <w:tcPr>
            <w:tcW w:w="2011" w:type="dxa"/>
            <w:tcBorders>
              <w:top w:val="nil"/>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X</w:t>
            </w:r>
          </w:p>
        </w:tc>
        <w:tc>
          <w:tcPr>
            <w:tcW w:w="1889" w:type="dxa"/>
            <w:tcBorders>
              <w:top w:val="nil"/>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hint="eastAsia"/>
                <w:sz w:val="22"/>
                <w:lang w:eastAsia="ko-KR"/>
              </w:rPr>
              <w:t>X</w:t>
            </w:r>
          </w:p>
        </w:tc>
      </w:tr>
      <w:tr w:rsidR="004077B2" w:rsidRPr="00295CC7" w:rsidTr="00E35083">
        <w:trPr>
          <w:trHeight w:val="330"/>
        </w:trPr>
        <w:tc>
          <w:tcPr>
            <w:tcW w:w="2505" w:type="dxa"/>
            <w:tcBorders>
              <w:top w:val="nil"/>
              <w:left w:val="single" w:sz="4" w:space="0" w:color="auto"/>
              <w:bottom w:val="single" w:sz="4" w:space="0" w:color="auto"/>
              <w:right w:val="single" w:sz="4" w:space="0" w:color="auto"/>
            </w:tcBorders>
            <w:shd w:val="clear" w:color="auto" w:fill="auto"/>
            <w:vAlign w:val="center"/>
            <w:hideMark/>
          </w:tcPr>
          <w:p w:rsidR="004077B2" w:rsidRPr="00295CC7" w:rsidRDefault="004077B2" w:rsidP="00E35083">
            <w:pPr>
              <w:rPr>
                <w:rFonts w:eastAsia="Malgun Gothic"/>
                <w:sz w:val="22"/>
                <w:lang w:eastAsia="ko-KR"/>
              </w:rPr>
            </w:pPr>
            <w:r w:rsidRPr="00295CC7">
              <w:rPr>
                <w:rFonts w:eastAsia="Malgun Gothic"/>
                <w:sz w:val="22"/>
                <w:lang w:eastAsia="ko-KR"/>
              </w:rPr>
              <w:t>DMRS pattern</w:t>
            </w:r>
          </w:p>
        </w:tc>
        <w:tc>
          <w:tcPr>
            <w:tcW w:w="2108" w:type="dxa"/>
            <w:tcBorders>
              <w:top w:val="nil"/>
              <w:left w:val="nil"/>
              <w:bottom w:val="single" w:sz="4" w:space="0" w:color="auto"/>
              <w:right w:val="single" w:sz="4" w:space="0" w:color="auto"/>
            </w:tcBorders>
            <w:shd w:val="clear" w:color="auto" w:fill="auto"/>
            <w:vAlign w:val="center"/>
            <w:hideMark/>
          </w:tcPr>
          <w:p w:rsidR="004077B2" w:rsidRPr="00295CC7" w:rsidRDefault="004077B2" w:rsidP="00E35083">
            <w:pPr>
              <w:rPr>
                <w:rFonts w:eastAsia="Malgun Gothic"/>
                <w:sz w:val="22"/>
                <w:lang w:eastAsia="ko-KR"/>
              </w:rPr>
            </w:pPr>
            <w:r w:rsidRPr="00295CC7">
              <w:rPr>
                <w:rFonts w:eastAsia="Malgun Gothic"/>
                <w:sz w:val="22"/>
                <w:lang w:eastAsia="ko-KR"/>
              </w:rPr>
              <w:t>[1-2]</w:t>
            </w:r>
          </w:p>
        </w:tc>
        <w:tc>
          <w:tcPr>
            <w:tcW w:w="1337" w:type="dxa"/>
            <w:tcBorders>
              <w:top w:val="nil"/>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c>
          <w:tcPr>
            <w:tcW w:w="2011" w:type="dxa"/>
            <w:tcBorders>
              <w:top w:val="nil"/>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c>
          <w:tcPr>
            <w:tcW w:w="1889" w:type="dxa"/>
            <w:tcBorders>
              <w:top w:val="nil"/>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FFS</w:t>
            </w:r>
          </w:p>
        </w:tc>
      </w:tr>
    </w:tbl>
    <w:p w:rsidR="004077B2" w:rsidRPr="002F2795" w:rsidRDefault="004077B2" w:rsidP="004077B2">
      <w:pPr>
        <w:jc w:val="center"/>
        <w:rPr>
          <w:rFonts w:ascii="Times New Roman" w:hAnsi="Times New Roman" w:cs="Times New Roman"/>
          <w:sz w:val="22"/>
        </w:rPr>
      </w:pPr>
      <w:r>
        <w:rPr>
          <w:rFonts w:ascii="Times New Roman" w:hAnsi="Times New Roman" w:cs="Times New Roman"/>
          <w:sz w:val="22"/>
        </w:rPr>
        <w:t>Table 1: proposed SCI content for different cast types in [1].</w:t>
      </w:r>
    </w:p>
    <w:p w:rsidR="00A352FD" w:rsidRDefault="004077B2" w:rsidP="00FC5609">
      <w:pPr>
        <w:spacing w:after="240"/>
        <w:jc w:val="both"/>
        <w:rPr>
          <w:rFonts w:ascii="Times New Roman" w:hAnsi="Times New Roman" w:cs="Times New Roman"/>
          <w:sz w:val="22"/>
          <w:lang w:val="en-GB"/>
        </w:rPr>
      </w:pPr>
      <w:r>
        <w:rPr>
          <w:rFonts w:ascii="Times New Roman" w:hAnsi="Times New Roman" w:cs="Times New Roman"/>
          <w:sz w:val="22"/>
          <w:lang w:val="en-GB"/>
        </w:rPr>
        <w:t>Since transmission from different cast types</w:t>
      </w:r>
      <w:r w:rsidR="00912BBE">
        <w:rPr>
          <w:rFonts w:ascii="Times New Roman" w:hAnsi="Times New Roman" w:cs="Times New Roman"/>
          <w:sz w:val="22"/>
          <w:lang w:val="en-GB"/>
        </w:rPr>
        <w:t xml:space="preserve"> and from different UEs</w:t>
      </w:r>
      <w:r>
        <w:rPr>
          <w:rFonts w:ascii="Times New Roman" w:hAnsi="Times New Roman" w:cs="Times New Roman"/>
          <w:sz w:val="22"/>
          <w:lang w:val="en-GB"/>
        </w:rPr>
        <w:t xml:space="preserve"> need to be handled differently, issues may occur when a Receiver UE (Rx</w:t>
      </w:r>
      <w:r>
        <w:rPr>
          <w:rFonts w:ascii="Times New Roman" w:hAnsi="Times New Roman" w:cs="Times New Roman" w:hint="eastAsia"/>
          <w:sz w:val="22"/>
          <w:lang w:val="en-GB"/>
        </w:rPr>
        <w:t xml:space="preserve"> UE</w:t>
      </w:r>
      <w:r>
        <w:rPr>
          <w:rFonts w:ascii="Times New Roman" w:hAnsi="Times New Roman" w:cs="Times New Roman"/>
          <w:sz w:val="22"/>
          <w:lang w:val="en-GB"/>
        </w:rPr>
        <w:t xml:space="preserve">) has to handle reception from different cast types as well as from different transmitter UEs (Tx UE). </w:t>
      </w:r>
    </w:p>
    <w:p w:rsidR="002F2795" w:rsidRDefault="00351F4F" w:rsidP="00FC5609">
      <w:pPr>
        <w:spacing w:after="240"/>
        <w:jc w:val="both"/>
        <w:rPr>
          <w:rFonts w:ascii="Times New Roman" w:hAnsi="Times New Roman" w:cs="Times New Roman"/>
          <w:sz w:val="22"/>
          <w:lang w:val="en-GB"/>
        </w:rPr>
      </w:pPr>
      <w:r>
        <w:rPr>
          <w:rFonts w:ascii="Times New Roman" w:hAnsi="Times New Roman" w:cs="Times New Roman"/>
          <w:sz w:val="22"/>
          <w:lang w:val="en-GB"/>
        </w:rPr>
        <w:t>First, f</w:t>
      </w:r>
      <w:r w:rsidR="002F2795">
        <w:rPr>
          <w:rFonts w:ascii="Times New Roman" w:hAnsi="Times New Roman" w:cs="Times New Roman"/>
          <w:sz w:val="22"/>
          <w:lang w:val="en-GB"/>
        </w:rPr>
        <w:t xml:space="preserve">or </w:t>
      </w:r>
      <w:r w:rsidR="00912BBE">
        <w:rPr>
          <w:rFonts w:ascii="Times New Roman" w:hAnsi="Times New Roman" w:cs="Times New Roman"/>
          <w:sz w:val="22"/>
          <w:lang w:val="en-GB"/>
        </w:rPr>
        <w:t xml:space="preserve">supporting </w:t>
      </w:r>
      <w:r w:rsidR="002F2795">
        <w:rPr>
          <w:rFonts w:ascii="Times New Roman" w:hAnsi="Times New Roman" w:cs="Times New Roman"/>
          <w:sz w:val="22"/>
          <w:lang w:val="en-GB"/>
        </w:rPr>
        <w:t xml:space="preserve">HARQ combining and retransmission, </w:t>
      </w:r>
      <w:r w:rsidR="00474EC6">
        <w:rPr>
          <w:rFonts w:ascii="Times New Roman" w:hAnsi="Times New Roman" w:cs="Times New Roman"/>
          <w:sz w:val="22"/>
          <w:lang w:val="en-GB"/>
        </w:rPr>
        <w:t xml:space="preserve">a TX UE needs to indicate HARQ process number for each TB for Rx UE in SCI for unicast and groupcast transmissions. </w:t>
      </w:r>
      <w:r w:rsidR="004077B2">
        <w:rPr>
          <w:rFonts w:ascii="Times New Roman" w:hAnsi="Times New Roman" w:cs="Times New Roman"/>
          <w:sz w:val="22"/>
          <w:lang w:val="en-GB"/>
        </w:rPr>
        <w:t xml:space="preserve">If multiple Tx UEs are performing SL unicast/groupcast to the same Rx UE, it is possible that more than one Tx UEs indicate the same HARQ process for </w:t>
      </w:r>
      <w:r w:rsidR="005F5310">
        <w:rPr>
          <w:rFonts w:ascii="Times New Roman" w:hAnsi="Times New Roman" w:cs="Times New Roman"/>
          <w:sz w:val="22"/>
          <w:lang w:val="en-GB"/>
        </w:rPr>
        <w:t>SL transmission, and Rx UE may experience data error if Rx UE handles TB from different Tx UEs with a single HARQ process.</w:t>
      </w:r>
    </w:p>
    <w:p w:rsidR="00E70AD4" w:rsidRDefault="00E70AD4" w:rsidP="00FC5609">
      <w:pPr>
        <w:spacing w:after="240"/>
        <w:jc w:val="both"/>
        <w:rPr>
          <w:rFonts w:ascii="Times New Roman" w:hAnsi="Times New Roman" w:cs="Times New Roman"/>
          <w:sz w:val="22"/>
          <w:lang w:val="en-GB"/>
        </w:rPr>
      </w:pPr>
      <w:r>
        <w:rPr>
          <w:rFonts w:ascii="Times New Roman" w:hAnsi="Times New Roman" w:cs="Times New Roman"/>
          <w:sz w:val="22"/>
          <w:lang w:val="en-GB"/>
        </w:rPr>
        <w:t xml:space="preserve">Second, since sidelink broadcast does not support </w:t>
      </w:r>
      <w:r w:rsidR="00626E6A">
        <w:rPr>
          <w:rFonts w:ascii="Times New Roman" w:hAnsi="Times New Roman" w:cs="Times New Roman"/>
          <w:sz w:val="22"/>
          <w:lang w:val="en-GB"/>
        </w:rPr>
        <w:t xml:space="preserve">feedback-based </w:t>
      </w:r>
      <w:r>
        <w:rPr>
          <w:rFonts w:ascii="Times New Roman" w:hAnsi="Times New Roman" w:cs="Times New Roman"/>
          <w:sz w:val="22"/>
          <w:lang w:val="en-GB"/>
        </w:rPr>
        <w:t xml:space="preserve">HARQ combining, SCI for sidelink broadcast may not </w:t>
      </w:r>
      <w:r w:rsidR="00C80A72">
        <w:rPr>
          <w:rFonts w:ascii="Times New Roman" w:hAnsi="Times New Roman" w:cs="Times New Roman"/>
          <w:sz w:val="22"/>
          <w:lang w:val="en-GB"/>
        </w:rPr>
        <w:t xml:space="preserve">indicate </w:t>
      </w:r>
      <w:r>
        <w:rPr>
          <w:rFonts w:ascii="Times New Roman" w:hAnsi="Times New Roman" w:cs="Times New Roman"/>
          <w:sz w:val="22"/>
          <w:lang w:val="en-GB"/>
        </w:rPr>
        <w:t xml:space="preserve">HARQ process number. According to legacy LTE V2X for handling sidelink broadcast, </w:t>
      </w:r>
      <w:r w:rsidR="00626E6A">
        <w:rPr>
          <w:rFonts w:ascii="Times New Roman" w:hAnsi="Times New Roman" w:cs="Times New Roman"/>
          <w:sz w:val="22"/>
          <w:lang w:val="en-GB"/>
        </w:rPr>
        <w:t>if SCI</w:t>
      </w:r>
      <w:r w:rsidRPr="00E70AD4">
        <w:rPr>
          <w:rFonts w:ascii="Times New Roman" w:hAnsi="Times New Roman" w:cs="Times New Roman"/>
          <w:sz w:val="22"/>
          <w:lang w:val="en-GB"/>
        </w:rPr>
        <w:t xml:space="preserve"> has been received on the PSCCH with a Group Destination ID of interest to </w:t>
      </w:r>
      <w:r>
        <w:rPr>
          <w:rFonts w:ascii="Times New Roman" w:hAnsi="Times New Roman" w:cs="Times New Roman"/>
          <w:sz w:val="22"/>
          <w:lang w:val="en-GB"/>
        </w:rPr>
        <w:t>the UE, the UE directs the TB and HARQ information associated with the SCI to a HARQ process based on UE implementation. The UE may experience HARQ process collision if broadcast TB shares the same set of HARQ processes with unicast/groupcast.</w:t>
      </w:r>
    </w:p>
    <w:p w:rsidR="0015497A" w:rsidRPr="004D30D6" w:rsidRDefault="00DA316D" w:rsidP="00FC5609">
      <w:pPr>
        <w:spacing w:after="240"/>
        <w:ind w:left="1561" w:hangingChars="709" w:hanging="1561"/>
        <w:jc w:val="both"/>
        <w:rPr>
          <w:rFonts w:ascii="Times New Roman" w:hAnsi="Times New Roman" w:cs="Times New Roman"/>
          <w:b/>
          <w:sz w:val="22"/>
          <w:lang w:val="en-GB"/>
        </w:rPr>
      </w:pPr>
      <w:r w:rsidRPr="004D30D6">
        <w:rPr>
          <w:rFonts w:ascii="Times New Roman" w:hAnsi="Times New Roman" w:cs="Times New Roman"/>
          <w:b/>
          <w:sz w:val="22"/>
          <w:lang w:val="en-GB"/>
        </w:rPr>
        <w:t>O</w:t>
      </w:r>
      <w:r w:rsidR="0015497A" w:rsidRPr="004D30D6">
        <w:rPr>
          <w:rFonts w:ascii="Times New Roman" w:hAnsi="Times New Roman" w:cs="Times New Roman"/>
          <w:b/>
          <w:sz w:val="22"/>
          <w:lang w:val="en-GB"/>
        </w:rPr>
        <w:t>bservation</w:t>
      </w:r>
      <w:r w:rsidR="00902767">
        <w:rPr>
          <w:rFonts w:ascii="Times New Roman" w:hAnsi="Times New Roman" w:cs="Times New Roman"/>
          <w:b/>
          <w:sz w:val="22"/>
          <w:lang w:val="en-GB"/>
        </w:rPr>
        <w:t xml:space="preserve"> 1</w:t>
      </w:r>
      <w:r w:rsidR="0015497A" w:rsidRPr="004D30D6">
        <w:rPr>
          <w:rFonts w:ascii="Times New Roman" w:hAnsi="Times New Roman" w:cs="Times New Roman"/>
          <w:b/>
          <w:sz w:val="22"/>
          <w:lang w:val="en-GB"/>
        </w:rPr>
        <w:t xml:space="preserve">: </w:t>
      </w:r>
      <w:r w:rsidR="00A4058D">
        <w:rPr>
          <w:rFonts w:ascii="Times New Roman" w:hAnsi="Times New Roman" w:cs="Times New Roman"/>
          <w:b/>
          <w:sz w:val="22"/>
          <w:lang w:val="en-GB"/>
        </w:rPr>
        <w:tab/>
      </w:r>
      <w:r w:rsidR="00E00B6D">
        <w:rPr>
          <w:rFonts w:ascii="Times New Roman" w:hAnsi="Times New Roman" w:cs="Times New Roman"/>
          <w:b/>
          <w:sz w:val="22"/>
          <w:lang w:val="en-GB"/>
        </w:rPr>
        <w:t xml:space="preserve">A </w:t>
      </w:r>
      <w:r w:rsidR="005F5310">
        <w:rPr>
          <w:rFonts w:ascii="Times New Roman" w:hAnsi="Times New Roman" w:cs="Times New Roman"/>
          <w:b/>
          <w:sz w:val="22"/>
          <w:lang w:val="en-GB"/>
        </w:rPr>
        <w:t xml:space="preserve">Rx UE may experience </w:t>
      </w:r>
      <w:r w:rsidR="00C80A72">
        <w:rPr>
          <w:rFonts w:ascii="Times New Roman" w:hAnsi="Times New Roman" w:cs="Times New Roman"/>
          <w:b/>
          <w:sz w:val="22"/>
          <w:lang w:val="en-GB"/>
        </w:rPr>
        <w:t xml:space="preserve">sidelink </w:t>
      </w:r>
      <w:r w:rsidR="005F5310">
        <w:rPr>
          <w:rFonts w:ascii="Times New Roman" w:hAnsi="Times New Roman" w:cs="Times New Roman"/>
          <w:b/>
          <w:sz w:val="22"/>
          <w:lang w:val="en-GB"/>
        </w:rPr>
        <w:t xml:space="preserve">HARQ process collision </w:t>
      </w:r>
      <w:r w:rsidR="00C80A72">
        <w:rPr>
          <w:rFonts w:ascii="Times New Roman" w:hAnsi="Times New Roman" w:cs="Times New Roman"/>
          <w:b/>
          <w:sz w:val="22"/>
          <w:lang w:val="en-GB"/>
        </w:rPr>
        <w:t xml:space="preserve">when performing sidelink communication with </w:t>
      </w:r>
      <w:r w:rsidR="005F5310">
        <w:rPr>
          <w:rFonts w:ascii="Times New Roman" w:hAnsi="Times New Roman" w:cs="Times New Roman"/>
          <w:b/>
          <w:sz w:val="22"/>
          <w:lang w:val="en-GB"/>
        </w:rPr>
        <w:t xml:space="preserve">multiple Tx UEs </w:t>
      </w:r>
      <w:r w:rsidR="00B2574E">
        <w:rPr>
          <w:rFonts w:ascii="Times New Roman" w:hAnsi="Times New Roman" w:cs="Times New Roman"/>
          <w:b/>
          <w:sz w:val="22"/>
          <w:lang w:val="en-GB"/>
        </w:rPr>
        <w:t>and result in data loss.</w:t>
      </w:r>
    </w:p>
    <w:p w:rsidR="002C50B7" w:rsidRDefault="002C50B7" w:rsidP="00FC5609">
      <w:pPr>
        <w:spacing w:after="240"/>
        <w:jc w:val="both"/>
        <w:rPr>
          <w:rFonts w:ascii="Times New Roman" w:hAnsi="Times New Roman" w:cs="Times New Roman"/>
          <w:sz w:val="22"/>
          <w:lang w:val="en-GB"/>
        </w:rPr>
      </w:pPr>
      <w:r>
        <w:rPr>
          <w:rFonts w:ascii="Times New Roman" w:hAnsi="Times New Roman" w:cs="Times New Roman" w:hint="eastAsia"/>
          <w:sz w:val="22"/>
          <w:lang w:val="en-GB"/>
        </w:rPr>
        <w:t>T</w:t>
      </w:r>
      <w:r>
        <w:rPr>
          <w:rFonts w:ascii="Times New Roman" w:hAnsi="Times New Roman" w:cs="Times New Roman"/>
          <w:sz w:val="22"/>
          <w:lang w:val="en-GB"/>
        </w:rPr>
        <w:t>o avoid HARQ process collision between different UEs</w:t>
      </w:r>
      <w:r w:rsidR="005E41D5">
        <w:rPr>
          <w:rFonts w:ascii="Times New Roman" w:hAnsi="Times New Roman" w:cs="Times New Roman"/>
          <w:sz w:val="22"/>
          <w:lang w:val="en-GB"/>
        </w:rPr>
        <w:t xml:space="preserve"> in groupcast and unicast</w:t>
      </w:r>
      <w:r>
        <w:rPr>
          <w:rFonts w:ascii="Times New Roman" w:hAnsi="Times New Roman" w:cs="Times New Roman"/>
          <w:sz w:val="22"/>
          <w:lang w:val="en-GB"/>
        </w:rPr>
        <w:t xml:space="preserve">, one possible solution is that a Rx UE uses different (set of) HARQ processes to handle data from different UEs. To be more specific, in addition to HARQ process number, the Rx UE </w:t>
      </w:r>
      <w:r w:rsidR="00C80A72">
        <w:rPr>
          <w:rFonts w:ascii="Times New Roman" w:hAnsi="Times New Roman" w:cs="Times New Roman"/>
          <w:sz w:val="22"/>
          <w:lang w:val="en-GB"/>
        </w:rPr>
        <w:t xml:space="preserve">shall </w:t>
      </w:r>
      <w:r>
        <w:rPr>
          <w:rFonts w:ascii="Times New Roman" w:hAnsi="Times New Roman" w:cs="Times New Roman"/>
          <w:sz w:val="22"/>
          <w:lang w:val="en-GB"/>
        </w:rPr>
        <w:t xml:space="preserve">take Destination ID and Source ID indicated in the SCI into consideration when determining with which HARQ process the Rx UE associate the SCI and TB. </w:t>
      </w:r>
      <w:r w:rsidR="00617BE2">
        <w:rPr>
          <w:rFonts w:ascii="Times New Roman" w:hAnsi="Times New Roman" w:cs="Times New Roman"/>
          <w:sz w:val="22"/>
          <w:lang w:val="en-GB"/>
        </w:rPr>
        <w:t>In addition, the Rx UE should use a separate (set of) HARQ</w:t>
      </w:r>
      <w:r w:rsidR="00617BE2">
        <w:rPr>
          <w:rFonts w:ascii="Times New Roman" w:hAnsi="Times New Roman" w:cs="Times New Roman" w:hint="eastAsia"/>
          <w:sz w:val="22"/>
          <w:lang w:val="en-GB"/>
        </w:rPr>
        <w:t xml:space="preserve"> process for handling broadcast traffic</w:t>
      </w:r>
      <w:r w:rsidR="00617BE2">
        <w:rPr>
          <w:rFonts w:ascii="Times New Roman" w:hAnsi="Times New Roman" w:cs="Times New Roman"/>
          <w:sz w:val="22"/>
          <w:lang w:val="en-GB"/>
        </w:rPr>
        <w:t xml:space="preserve"> from unicast and groupcast</w:t>
      </w:r>
      <w:r w:rsidR="00617BE2">
        <w:rPr>
          <w:rFonts w:ascii="Times New Roman" w:hAnsi="Times New Roman" w:cs="Times New Roman" w:hint="eastAsia"/>
          <w:sz w:val="22"/>
          <w:lang w:val="en-GB"/>
        </w:rPr>
        <w:t xml:space="preserve">, which is similar </w:t>
      </w:r>
      <w:r w:rsidR="00617BE2">
        <w:rPr>
          <w:rFonts w:ascii="Times New Roman" w:hAnsi="Times New Roman" w:cs="Times New Roman"/>
          <w:sz w:val="22"/>
          <w:lang w:val="en-GB"/>
        </w:rPr>
        <w:t>to Uu where a broadcast HARQ process is dedicated for BCCH.</w:t>
      </w:r>
    </w:p>
    <w:p w:rsidR="00626E6A" w:rsidRDefault="00294436" w:rsidP="00626E6A">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1</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When receiving a SCI</w:t>
      </w:r>
      <w:r w:rsidR="005E41D5">
        <w:rPr>
          <w:rFonts w:ascii="Times New Roman" w:hAnsi="Times New Roman" w:cs="Times New Roman"/>
          <w:b/>
          <w:sz w:val="22"/>
          <w:lang w:val="en-GB"/>
        </w:rPr>
        <w:t xml:space="preserve"> for unicast and groupcast</w:t>
      </w:r>
      <w:r>
        <w:rPr>
          <w:rFonts w:ascii="Times New Roman" w:hAnsi="Times New Roman" w:cs="Times New Roman"/>
          <w:b/>
          <w:sz w:val="22"/>
          <w:lang w:val="en-GB"/>
        </w:rPr>
        <w:t xml:space="preserve">, Rx UE determines </w:t>
      </w:r>
      <w:r w:rsidR="005456D5">
        <w:rPr>
          <w:rFonts w:ascii="Times New Roman" w:hAnsi="Times New Roman" w:cs="Times New Roman"/>
          <w:b/>
          <w:sz w:val="22"/>
          <w:lang w:val="en-GB"/>
        </w:rPr>
        <w:t>with which</w:t>
      </w:r>
      <w:r w:rsidR="005E41D5">
        <w:rPr>
          <w:rFonts w:ascii="Times New Roman" w:hAnsi="Times New Roman" w:cs="Times New Roman"/>
          <w:b/>
          <w:sz w:val="22"/>
          <w:lang w:val="en-GB"/>
        </w:rPr>
        <w:t xml:space="preserve"> HARQ process </w:t>
      </w:r>
      <w:r w:rsidR="005456D5">
        <w:rPr>
          <w:rFonts w:ascii="Times New Roman" w:hAnsi="Times New Roman" w:cs="Times New Roman"/>
          <w:b/>
          <w:sz w:val="22"/>
          <w:lang w:val="en-GB"/>
        </w:rPr>
        <w:t xml:space="preserve">the SCI is associated </w:t>
      </w:r>
      <w:r w:rsidR="005E41D5">
        <w:rPr>
          <w:rFonts w:ascii="Times New Roman" w:hAnsi="Times New Roman" w:cs="Times New Roman"/>
          <w:b/>
          <w:sz w:val="22"/>
          <w:lang w:val="en-GB"/>
        </w:rPr>
        <w:t>based on HARQ process number, Layer-1 Destination ID and</w:t>
      </w:r>
      <w:r w:rsidR="005E41D5" w:rsidRPr="005E41D5">
        <w:rPr>
          <w:rFonts w:ascii="Times New Roman" w:hAnsi="Times New Roman" w:cs="Times New Roman"/>
          <w:b/>
          <w:sz w:val="22"/>
          <w:lang w:val="en-GB"/>
        </w:rPr>
        <w:t xml:space="preserve"> </w:t>
      </w:r>
      <w:r w:rsidR="005E41D5">
        <w:rPr>
          <w:rFonts w:ascii="Times New Roman" w:hAnsi="Times New Roman" w:cs="Times New Roman"/>
          <w:b/>
          <w:sz w:val="22"/>
          <w:lang w:val="en-GB"/>
        </w:rPr>
        <w:t>Layer-1 Source ID</w:t>
      </w:r>
      <w:r>
        <w:rPr>
          <w:rFonts w:ascii="Times New Roman" w:hAnsi="Times New Roman" w:cs="Times New Roman"/>
          <w:b/>
          <w:sz w:val="22"/>
          <w:lang w:val="en-GB"/>
        </w:rPr>
        <w:t>.</w:t>
      </w:r>
    </w:p>
    <w:p w:rsidR="00626E6A" w:rsidRPr="00626E6A" w:rsidRDefault="00626E6A" w:rsidP="00626E6A">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2</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HARQ processes used for sidelink broadcast are separated from HARQ processes used for sidelink unicast and groupcast.</w:t>
      </w:r>
    </w:p>
    <w:p w:rsidR="000B0AF9" w:rsidRDefault="002C50B7" w:rsidP="00FC5609">
      <w:pPr>
        <w:spacing w:after="240"/>
        <w:jc w:val="both"/>
        <w:rPr>
          <w:rFonts w:ascii="Times New Roman" w:hAnsi="Times New Roman" w:cs="Times New Roman"/>
          <w:sz w:val="22"/>
          <w:lang w:val="en-GB"/>
        </w:rPr>
      </w:pPr>
      <w:r>
        <w:rPr>
          <w:rFonts w:ascii="Times New Roman" w:hAnsi="Times New Roman" w:cs="Times New Roman" w:hint="eastAsia"/>
          <w:sz w:val="22"/>
          <w:lang w:val="en-GB"/>
        </w:rPr>
        <w:t>This paper</w:t>
      </w:r>
      <w:r w:rsidR="00B636F5">
        <w:rPr>
          <w:rFonts w:ascii="Times New Roman" w:hAnsi="Times New Roman" w:cs="Times New Roman"/>
          <w:sz w:val="22"/>
          <w:lang w:val="en-GB"/>
        </w:rPr>
        <w:t xml:space="preserve"> further</w:t>
      </w:r>
      <w:r>
        <w:rPr>
          <w:rFonts w:ascii="Times New Roman" w:hAnsi="Times New Roman" w:cs="Times New Roman" w:hint="eastAsia"/>
          <w:sz w:val="22"/>
          <w:lang w:val="en-GB"/>
        </w:rPr>
        <w:t xml:space="preserve"> discuss</w:t>
      </w:r>
      <w:r w:rsidR="00B636F5">
        <w:rPr>
          <w:rFonts w:ascii="Times New Roman" w:hAnsi="Times New Roman" w:cs="Times New Roman"/>
          <w:sz w:val="22"/>
          <w:lang w:val="en-GB"/>
        </w:rPr>
        <w:t>es</w:t>
      </w:r>
      <w:r>
        <w:rPr>
          <w:rFonts w:ascii="Times New Roman" w:hAnsi="Times New Roman" w:cs="Times New Roman" w:hint="eastAsia"/>
          <w:sz w:val="22"/>
          <w:lang w:val="en-GB"/>
        </w:rPr>
        <w:t xml:space="preserve"> several </w:t>
      </w:r>
      <w:r>
        <w:rPr>
          <w:rFonts w:ascii="Times New Roman" w:hAnsi="Times New Roman" w:cs="Times New Roman"/>
          <w:sz w:val="22"/>
          <w:lang w:val="en-GB"/>
        </w:rPr>
        <w:t xml:space="preserve">possible </w:t>
      </w:r>
      <w:r w:rsidR="00B636F5">
        <w:rPr>
          <w:rFonts w:ascii="Times New Roman" w:hAnsi="Times New Roman" w:cs="Times New Roman"/>
          <w:sz w:val="22"/>
          <w:lang w:val="en-GB"/>
        </w:rPr>
        <w:t xml:space="preserve">HARQ entity </w:t>
      </w:r>
      <w:r>
        <w:rPr>
          <w:rFonts w:ascii="Times New Roman" w:hAnsi="Times New Roman" w:cs="Times New Roman" w:hint="eastAsia"/>
          <w:sz w:val="22"/>
          <w:lang w:val="en-GB"/>
        </w:rPr>
        <w:t>design</w:t>
      </w:r>
      <w:r w:rsidR="00737E61">
        <w:rPr>
          <w:rFonts w:ascii="Times New Roman" w:hAnsi="Times New Roman" w:cs="Times New Roman"/>
          <w:sz w:val="22"/>
          <w:lang w:val="en-GB"/>
        </w:rPr>
        <w:t xml:space="preserve"> options </w:t>
      </w:r>
      <w:r>
        <w:rPr>
          <w:rFonts w:ascii="Times New Roman" w:hAnsi="Times New Roman" w:cs="Times New Roman"/>
          <w:sz w:val="22"/>
          <w:lang w:val="en-GB"/>
        </w:rPr>
        <w:t>for mitigating issues in HARQ process collision</w:t>
      </w:r>
      <w:r w:rsidR="00B636F5">
        <w:rPr>
          <w:rFonts w:ascii="Times New Roman" w:hAnsi="Times New Roman" w:cs="Times New Roman"/>
          <w:sz w:val="22"/>
          <w:lang w:val="en-GB"/>
        </w:rPr>
        <w:t xml:space="preserve"> in broadcast, unicast, and groupcast</w:t>
      </w:r>
      <w:r>
        <w:rPr>
          <w:rFonts w:ascii="Times New Roman" w:hAnsi="Times New Roman" w:cs="Times New Roman"/>
          <w:sz w:val="22"/>
          <w:lang w:val="en-GB"/>
        </w:rPr>
        <w:t xml:space="preserve">. </w:t>
      </w:r>
    </w:p>
    <w:p w:rsidR="00B636F5" w:rsidRPr="00737E61" w:rsidRDefault="00737E61" w:rsidP="00737E61">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lastRenderedPageBreak/>
        <w:t xml:space="preserve">Option 1: </w:t>
      </w:r>
      <w:r w:rsidR="00D64763" w:rsidRPr="00D64763">
        <w:rPr>
          <w:rFonts w:ascii="Times New Roman" w:hAnsi="Times New Roman" w:cs="Times New Roman"/>
          <w:b/>
          <w:sz w:val="22"/>
          <w:u w:val="single"/>
          <w:lang w:val="en-GB"/>
        </w:rPr>
        <w:t>One HARQ entity for broadcast and one HARQ entity for each Source-Destination pair for unicast and groupcast</w:t>
      </w:r>
    </w:p>
    <w:p w:rsidR="00551295" w:rsidRDefault="00B636F5" w:rsidP="00B636F5">
      <w:pPr>
        <w:spacing w:after="240"/>
        <w:jc w:val="both"/>
        <w:rPr>
          <w:rFonts w:ascii="Times New Roman" w:hAnsi="Times New Roman" w:cs="Times New Roman"/>
          <w:sz w:val="22"/>
          <w:lang w:val="en-GB"/>
        </w:rPr>
      </w:pPr>
      <w:r>
        <w:rPr>
          <w:rFonts w:ascii="Times New Roman" w:hAnsi="Times New Roman" w:cs="Times New Roman" w:hint="eastAsia"/>
          <w:sz w:val="22"/>
          <w:lang w:val="en-GB"/>
        </w:rPr>
        <w:t xml:space="preserve">An illustration of the design is shown in Figure 1. </w:t>
      </w:r>
      <w:r>
        <w:rPr>
          <w:rFonts w:ascii="Times New Roman" w:hAnsi="Times New Roman" w:cs="Times New Roman"/>
          <w:sz w:val="22"/>
          <w:lang w:val="en-GB"/>
        </w:rPr>
        <w:t>A MAC entity of a V2X UE maintains one HARQ entity for receiving broadcast transmissions. The UE can determine the broadcast traffic based on Layer-1 Destination ID in the SCI. For simple design, LTE V2X behaviour can be applied to the HARQ entity for broadcast. The MAC entity maintains one HARQ entity for each unicast/groupcast connection distinguished by the Destination ID – Source ID pair.</w:t>
      </w:r>
      <w:r w:rsidR="00334123">
        <w:rPr>
          <w:rFonts w:ascii="Times New Roman" w:hAnsi="Times New Roman" w:cs="Times New Roman"/>
          <w:sz w:val="22"/>
          <w:lang w:val="en-GB"/>
        </w:rPr>
        <w:t xml:space="preserve"> For example, the first HARQ entity for groupcast is for receiving SCI and associated data from UE</w:t>
      </w:r>
      <w:r w:rsidR="00DD609B">
        <w:rPr>
          <w:rFonts w:ascii="Times New Roman" w:hAnsi="Times New Roman" w:cs="Times New Roman"/>
          <w:sz w:val="22"/>
          <w:lang w:val="en-GB"/>
        </w:rPr>
        <w:t>_1</w:t>
      </w:r>
      <w:r w:rsidR="00334123">
        <w:rPr>
          <w:rFonts w:ascii="Times New Roman" w:hAnsi="Times New Roman" w:cs="Times New Roman"/>
          <w:sz w:val="22"/>
          <w:lang w:val="en-GB"/>
        </w:rPr>
        <w:t xml:space="preserve"> with Source ID SrcID_1 </w:t>
      </w:r>
      <w:r w:rsidR="00F948C8">
        <w:rPr>
          <w:rFonts w:ascii="Times New Roman" w:hAnsi="Times New Roman" w:cs="Times New Roman"/>
          <w:sz w:val="22"/>
          <w:lang w:val="en-GB"/>
        </w:rPr>
        <w:t>performing</w:t>
      </w:r>
      <w:r w:rsidR="00334123">
        <w:rPr>
          <w:rFonts w:ascii="Times New Roman" w:hAnsi="Times New Roman" w:cs="Times New Roman"/>
          <w:sz w:val="22"/>
          <w:lang w:val="en-GB"/>
        </w:rPr>
        <w:t xml:space="preserve"> a groupcast service with Destination ID DstID_1. the second HARQ entity for groupcast is for receiving SCI and associated data from UE</w:t>
      </w:r>
      <w:r w:rsidR="00DD609B">
        <w:rPr>
          <w:rFonts w:ascii="Times New Roman" w:hAnsi="Times New Roman" w:cs="Times New Roman"/>
          <w:sz w:val="22"/>
          <w:lang w:val="en-GB"/>
        </w:rPr>
        <w:t>_2</w:t>
      </w:r>
      <w:r w:rsidR="00334123">
        <w:rPr>
          <w:rFonts w:ascii="Times New Roman" w:hAnsi="Times New Roman" w:cs="Times New Roman"/>
          <w:sz w:val="22"/>
          <w:lang w:val="en-GB"/>
        </w:rPr>
        <w:t xml:space="preserve"> with Source ID SrcID_2 performing a groupcast service with Destination ID DstID_</w:t>
      </w:r>
      <w:r w:rsidR="00F948C8">
        <w:rPr>
          <w:rFonts w:ascii="Times New Roman" w:hAnsi="Times New Roman" w:cs="Times New Roman"/>
          <w:sz w:val="22"/>
          <w:lang w:val="en-GB"/>
        </w:rPr>
        <w:t>2</w:t>
      </w:r>
      <w:r w:rsidR="00334123">
        <w:rPr>
          <w:rFonts w:ascii="Times New Roman" w:hAnsi="Times New Roman" w:cs="Times New Roman"/>
          <w:sz w:val="22"/>
          <w:lang w:val="en-GB"/>
        </w:rPr>
        <w:t>.</w:t>
      </w:r>
      <w:r w:rsidR="00F948C8">
        <w:rPr>
          <w:rFonts w:ascii="Times New Roman" w:hAnsi="Times New Roman" w:cs="Times New Roman"/>
          <w:sz w:val="22"/>
          <w:lang w:val="en-GB"/>
        </w:rPr>
        <w:t xml:space="preserve"> Each HARQ entity maintains a number of </w:t>
      </w:r>
      <w:r w:rsidR="00551295">
        <w:rPr>
          <w:rFonts w:ascii="Times New Roman" w:hAnsi="Times New Roman" w:cs="Times New Roman"/>
          <w:sz w:val="22"/>
          <w:lang w:val="en-GB"/>
        </w:rPr>
        <w:t xml:space="preserve">its own </w:t>
      </w:r>
      <w:r w:rsidR="00F948C8">
        <w:rPr>
          <w:rFonts w:ascii="Times New Roman" w:hAnsi="Times New Roman" w:cs="Times New Roman"/>
          <w:sz w:val="22"/>
          <w:lang w:val="en-GB"/>
        </w:rPr>
        <w:t xml:space="preserve">HARQ processes. </w:t>
      </w:r>
      <w:r w:rsidR="00551295">
        <w:rPr>
          <w:rFonts w:ascii="Times New Roman" w:hAnsi="Times New Roman" w:cs="Times New Roman"/>
          <w:sz w:val="22"/>
          <w:lang w:val="en-GB"/>
        </w:rPr>
        <w:t>For example, the first SCI for groupcast is associated with HARQ process 1 in the first HARQ entity for groupcast, and the second SCI for groupcast is associated with HARQ process 1 in the second HARQ entity for groupcast.</w:t>
      </w:r>
      <w:r w:rsidR="002D5871">
        <w:rPr>
          <w:rFonts w:ascii="Times New Roman" w:hAnsi="Times New Roman" w:cs="Times New Roman"/>
          <w:sz w:val="22"/>
          <w:lang w:val="en-GB"/>
        </w:rPr>
        <w:t xml:space="preserve"> The first SCI for uniscast indicates source ID SrcID_A, destination ID DstID_A and is associate with the first HARQ entity for unicast. The second SCI for uniscast indicates source ID SrcID_B, destination ID DstID_B and is associate with the </w:t>
      </w:r>
      <w:r w:rsidR="00B6057A">
        <w:rPr>
          <w:rFonts w:ascii="Times New Roman" w:hAnsi="Times New Roman" w:cs="Times New Roman"/>
          <w:sz w:val="22"/>
          <w:lang w:val="en-GB"/>
        </w:rPr>
        <w:t>second</w:t>
      </w:r>
      <w:r w:rsidR="002D5871">
        <w:rPr>
          <w:rFonts w:ascii="Times New Roman" w:hAnsi="Times New Roman" w:cs="Times New Roman"/>
          <w:sz w:val="22"/>
          <w:lang w:val="en-GB"/>
        </w:rPr>
        <w:t xml:space="preserve"> HARQ entity for unicast.</w:t>
      </w:r>
    </w:p>
    <w:p w:rsidR="00B636F5" w:rsidRDefault="00F948C8" w:rsidP="00B636F5">
      <w:pPr>
        <w:spacing w:after="240"/>
        <w:jc w:val="both"/>
        <w:rPr>
          <w:rFonts w:ascii="Times New Roman" w:hAnsi="Times New Roman" w:cs="Times New Roman"/>
          <w:sz w:val="22"/>
          <w:lang w:val="en-GB"/>
        </w:rPr>
      </w:pPr>
      <w:r>
        <w:rPr>
          <w:rFonts w:ascii="Times New Roman" w:hAnsi="Times New Roman" w:cs="Times New Roman"/>
          <w:sz w:val="22"/>
          <w:lang w:val="en-GB"/>
        </w:rPr>
        <w:t xml:space="preserve">The advantage of the design is </w:t>
      </w:r>
      <w:r w:rsidR="00BC0424">
        <w:rPr>
          <w:rFonts w:ascii="Times New Roman" w:hAnsi="Times New Roman" w:cs="Times New Roman"/>
          <w:sz w:val="22"/>
          <w:lang w:val="en-GB"/>
        </w:rPr>
        <w:t xml:space="preserve">complete </w:t>
      </w:r>
      <w:r>
        <w:rPr>
          <w:rFonts w:ascii="Times New Roman" w:hAnsi="Times New Roman" w:cs="Times New Roman"/>
          <w:sz w:val="22"/>
          <w:lang w:val="en-GB"/>
        </w:rPr>
        <w:t>mitigation of HARQ process collision between</w:t>
      </w:r>
      <w:r w:rsidR="00BC0424">
        <w:rPr>
          <w:rFonts w:ascii="Times New Roman" w:hAnsi="Times New Roman" w:cs="Times New Roman"/>
          <w:sz w:val="22"/>
          <w:lang w:val="en-GB"/>
        </w:rPr>
        <w:t xml:space="preserve"> connection from</w:t>
      </w:r>
      <w:r>
        <w:rPr>
          <w:rFonts w:ascii="Times New Roman" w:hAnsi="Times New Roman" w:cs="Times New Roman"/>
          <w:sz w:val="22"/>
          <w:lang w:val="en-GB"/>
        </w:rPr>
        <w:t xml:space="preserve"> all different UEs and cast types,</w:t>
      </w:r>
      <w:r w:rsidR="009D5700">
        <w:rPr>
          <w:rFonts w:ascii="Times New Roman" w:hAnsi="Times New Roman" w:cs="Times New Roman"/>
          <w:sz w:val="22"/>
          <w:lang w:val="en-GB"/>
        </w:rPr>
        <w:t xml:space="preserve"> and each HARQ entity can enable/disable its HARQ feedback independently</w:t>
      </w:r>
      <w:r>
        <w:rPr>
          <w:rFonts w:ascii="Times New Roman" w:hAnsi="Times New Roman" w:cs="Times New Roman"/>
          <w:sz w:val="22"/>
          <w:lang w:val="en-GB"/>
        </w:rPr>
        <w:t xml:space="preserve"> while the disadvantage </w:t>
      </w:r>
      <w:r w:rsidR="00BC0424">
        <w:rPr>
          <w:rFonts w:ascii="Times New Roman" w:hAnsi="Times New Roman" w:cs="Times New Roman"/>
          <w:sz w:val="22"/>
          <w:lang w:val="en-GB"/>
        </w:rPr>
        <w:t>is the Rx UE shall e</w:t>
      </w:r>
      <w:r w:rsidR="001175AC">
        <w:rPr>
          <w:rFonts w:ascii="Times New Roman" w:hAnsi="Times New Roman" w:cs="Times New Roman"/>
          <w:sz w:val="22"/>
          <w:lang w:val="en-GB"/>
        </w:rPr>
        <w:t>stablish and maintain one</w:t>
      </w:r>
      <w:r w:rsidR="00DD609B">
        <w:rPr>
          <w:rFonts w:ascii="Times New Roman" w:hAnsi="Times New Roman" w:cs="Times New Roman"/>
          <w:sz w:val="22"/>
          <w:lang w:val="en-GB"/>
        </w:rPr>
        <w:t xml:space="preserve"> additional</w:t>
      </w:r>
      <w:r>
        <w:rPr>
          <w:rFonts w:ascii="Times New Roman" w:hAnsi="Times New Roman" w:cs="Times New Roman"/>
          <w:sz w:val="22"/>
          <w:lang w:val="en-GB"/>
        </w:rPr>
        <w:t xml:space="preserve"> HARQ entity for each connection.</w:t>
      </w:r>
    </w:p>
    <w:p w:rsidR="00DD609B" w:rsidRPr="002D5871" w:rsidRDefault="002D5871" w:rsidP="002D5871">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 xml:space="preserve">Option 2: </w:t>
      </w:r>
      <w:r w:rsidR="00D64763" w:rsidRPr="00D64763">
        <w:rPr>
          <w:rFonts w:ascii="Times New Roman" w:hAnsi="Times New Roman" w:cs="Times New Roman"/>
          <w:b/>
          <w:sz w:val="22"/>
          <w:u w:val="single"/>
          <w:lang w:val="en-GB"/>
        </w:rPr>
        <w:t>One HARQ entity for all cast types</w:t>
      </w:r>
    </w:p>
    <w:p w:rsidR="00FA48AC" w:rsidRDefault="00DD609B" w:rsidP="00DD609B">
      <w:pPr>
        <w:spacing w:after="240"/>
        <w:jc w:val="both"/>
        <w:rPr>
          <w:rFonts w:ascii="Times New Roman" w:hAnsi="Times New Roman" w:cs="Times New Roman"/>
          <w:sz w:val="22"/>
          <w:lang w:val="en-GB"/>
        </w:rPr>
      </w:pPr>
      <w:r w:rsidRPr="00DD609B">
        <w:rPr>
          <w:rFonts w:ascii="Times New Roman" w:hAnsi="Times New Roman" w:cs="Times New Roman"/>
          <w:sz w:val="22"/>
          <w:lang w:val="en-GB"/>
        </w:rPr>
        <w:t xml:space="preserve">Another design is shown </w:t>
      </w:r>
      <w:r>
        <w:rPr>
          <w:rFonts w:ascii="Times New Roman" w:hAnsi="Times New Roman" w:cs="Times New Roman"/>
          <w:sz w:val="22"/>
          <w:lang w:val="en-GB"/>
        </w:rPr>
        <w:t xml:space="preserve">in Figure 2. The MAC entity maintains one HARQ entity (in one carrier) for all UEs performing sidelink communication with it. Similar to Uu design, the HARQ entity maintains </w:t>
      </w:r>
      <w:r w:rsidR="00FE4F66">
        <w:rPr>
          <w:rFonts w:ascii="Times New Roman" w:hAnsi="Times New Roman" w:cs="Times New Roman"/>
          <w:sz w:val="22"/>
          <w:lang w:val="en-GB"/>
        </w:rPr>
        <w:t>a set of</w:t>
      </w:r>
      <w:r>
        <w:rPr>
          <w:rFonts w:ascii="Times New Roman" w:hAnsi="Times New Roman" w:cs="Times New Roman"/>
          <w:sz w:val="22"/>
          <w:lang w:val="en-GB"/>
        </w:rPr>
        <w:t xml:space="preserve"> HARQ processes dedicated for broadcast traffic. The UE can handle broadcast traffic similar to LTE V2X behaviour. On the other hand, </w:t>
      </w:r>
      <w:r w:rsidR="00FE4F66">
        <w:rPr>
          <w:rFonts w:ascii="Times New Roman" w:hAnsi="Times New Roman" w:cs="Times New Roman"/>
          <w:sz w:val="22"/>
          <w:lang w:val="en-GB"/>
        </w:rPr>
        <w:t xml:space="preserve">the HARQ entity maintains another set of HARQ processes for unicast/groupcast traffic. The HARQ entity can associate an incoming SCI with a HARQ process based on Destination ID, Source ID, and HARQ process number indicated in the SCI (as proposed in Proposal 1). </w:t>
      </w:r>
      <w:r w:rsidR="00850643">
        <w:rPr>
          <w:rFonts w:ascii="Times New Roman" w:hAnsi="Times New Roman" w:cs="Times New Roman"/>
          <w:sz w:val="22"/>
          <w:lang w:val="en-GB"/>
        </w:rPr>
        <w:t>As shown in Figure 2, SCI for unicast and SCI for groupcast indicate the same HARQ process but with different Destination ID and source ID pair. The UE can associate the two SCI with different HARQ processes according to above information.</w:t>
      </w:r>
    </w:p>
    <w:p w:rsidR="00DD609B" w:rsidRDefault="00FE4F66" w:rsidP="00DD609B">
      <w:pPr>
        <w:spacing w:after="240"/>
        <w:jc w:val="both"/>
        <w:rPr>
          <w:rFonts w:ascii="Times New Roman" w:hAnsi="Times New Roman" w:cs="Times New Roman"/>
          <w:sz w:val="22"/>
          <w:lang w:val="en-GB"/>
        </w:rPr>
      </w:pPr>
      <w:r>
        <w:rPr>
          <w:rFonts w:ascii="Times New Roman" w:hAnsi="Times New Roman" w:cs="Times New Roman"/>
          <w:sz w:val="22"/>
          <w:lang w:val="en-GB"/>
        </w:rPr>
        <w:t xml:space="preserve">The advantage of this design is </w:t>
      </w:r>
      <w:r w:rsidR="000A404D">
        <w:rPr>
          <w:rFonts w:ascii="Times New Roman" w:hAnsi="Times New Roman" w:cs="Times New Roman"/>
          <w:sz w:val="22"/>
          <w:lang w:val="en-GB"/>
        </w:rPr>
        <w:t>only one HARQ entity is used for handling all traffic in one carrier,</w:t>
      </w:r>
      <w:r w:rsidR="00FA48AC">
        <w:rPr>
          <w:rFonts w:ascii="Times New Roman" w:hAnsi="Times New Roman" w:cs="Times New Roman"/>
          <w:sz w:val="22"/>
          <w:lang w:val="en-GB"/>
        </w:rPr>
        <w:t xml:space="preserve"> which is</w:t>
      </w:r>
      <w:r w:rsidR="000A404D">
        <w:rPr>
          <w:rFonts w:ascii="Times New Roman" w:hAnsi="Times New Roman" w:cs="Times New Roman"/>
          <w:sz w:val="22"/>
          <w:lang w:val="en-GB"/>
        </w:rPr>
        <w:t xml:space="preserve"> similar to LTE V2X architecture, </w:t>
      </w:r>
      <w:r w:rsidR="00FA48AC">
        <w:rPr>
          <w:rFonts w:ascii="Times New Roman" w:hAnsi="Times New Roman" w:cs="Times New Roman"/>
          <w:sz w:val="22"/>
          <w:lang w:val="en-GB"/>
        </w:rPr>
        <w:t>wher</w:t>
      </w:r>
      <w:r w:rsidR="00DA6AEF">
        <w:rPr>
          <w:rFonts w:ascii="Times New Roman" w:hAnsi="Times New Roman" w:cs="Times New Roman"/>
          <w:sz w:val="22"/>
          <w:lang w:val="en-GB"/>
        </w:rPr>
        <w:t>e</w:t>
      </w:r>
      <w:r w:rsidR="00FA48AC">
        <w:rPr>
          <w:rFonts w:ascii="Times New Roman" w:hAnsi="Times New Roman" w:cs="Times New Roman"/>
          <w:sz w:val="22"/>
          <w:lang w:val="en-GB"/>
        </w:rPr>
        <w:t xml:space="preserve">as </w:t>
      </w:r>
      <w:r w:rsidR="000A404D">
        <w:rPr>
          <w:rFonts w:ascii="Times New Roman" w:hAnsi="Times New Roman" w:cs="Times New Roman"/>
          <w:sz w:val="22"/>
          <w:lang w:val="en-GB"/>
        </w:rPr>
        <w:t xml:space="preserve">the disadvantage </w:t>
      </w:r>
      <w:r w:rsidR="00FA48AC">
        <w:rPr>
          <w:rFonts w:ascii="Times New Roman" w:hAnsi="Times New Roman" w:cs="Times New Roman"/>
          <w:sz w:val="22"/>
          <w:lang w:val="en-GB"/>
        </w:rPr>
        <w:t xml:space="preserve">is that the design is </w:t>
      </w:r>
      <w:r w:rsidR="000A404D">
        <w:rPr>
          <w:rFonts w:ascii="Times New Roman" w:hAnsi="Times New Roman" w:cs="Times New Roman"/>
          <w:sz w:val="22"/>
          <w:lang w:val="en-GB"/>
        </w:rPr>
        <w:t>not scalable in number of HARQ processes when maintaining a large number of connections between different UEs.</w:t>
      </w:r>
    </w:p>
    <w:p w:rsidR="009D5700" w:rsidRPr="002D5871" w:rsidRDefault="002D5871" w:rsidP="002D5871">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 xml:space="preserve">Option 3: </w:t>
      </w:r>
      <w:r w:rsidR="009D5700" w:rsidRPr="002D5871">
        <w:rPr>
          <w:rFonts w:ascii="Times New Roman" w:hAnsi="Times New Roman" w:cs="Times New Roman" w:hint="eastAsia"/>
          <w:b/>
          <w:sz w:val="22"/>
          <w:u w:val="single"/>
          <w:lang w:val="en-GB"/>
        </w:rPr>
        <w:t>One</w:t>
      </w:r>
      <w:r w:rsidR="00D12769" w:rsidRPr="002D5871">
        <w:rPr>
          <w:rFonts w:ascii="Times New Roman" w:hAnsi="Times New Roman" w:cs="Times New Roman" w:hint="eastAsia"/>
          <w:b/>
          <w:sz w:val="22"/>
          <w:u w:val="single"/>
          <w:lang w:val="en-GB"/>
        </w:rPr>
        <w:t xml:space="preserve"> HARQ entity for each cast type</w:t>
      </w:r>
      <w:r w:rsidR="009D5700" w:rsidRPr="002D5871">
        <w:rPr>
          <w:rFonts w:ascii="Times New Roman" w:hAnsi="Times New Roman" w:cs="Times New Roman" w:hint="eastAsia"/>
          <w:b/>
          <w:sz w:val="22"/>
          <w:u w:val="single"/>
          <w:lang w:val="en-GB"/>
        </w:rPr>
        <w:t>.</w:t>
      </w:r>
    </w:p>
    <w:p w:rsidR="009D5700" w:rsidRPr="00D05AF3" w:rsidRDefault="007C5ABC" w:rsidP="00D05AF3">
      <w:pPr>
        <w:spacing w:after="240"/>
        <w:jc w:val="both"/>
        <w:rPr>
          <w:rFonts w:ascii="Times New Roman" w:hAnsi="Times New Roman" w:cs="Times New Roman"/>
          <w:sz w:val="22"/>
          <w:lang w:val="en-GB"/>
        </w:rPr>
      </w:pPr>
      <w:r w:rsidRPr="00D05AF3">
        <w:rPr>
          <w:rFonts w:ascii="Times New Roman" w:hAnsi="Times New Roman" w:cs="Times New Roman" w:hint="eastAsia"/>
          <w:sz w:val="22"/>
          <w:lang w:val="en-GB"/>
        </w:rPr>
        <w:t xml:space="preserve">Another idea of design is illustrated in Figure 3. </w:t>
      </w:r>
      <w:r w:rsidRPr="00D05AF3">
        <w:rPr>
          <w:rFonts w:ascii="Times New Roman" w:hAnsi="Times New Roman" w:cs="Times New Roman"/>
          <w:sz w:val="22"/>
          <w:lang w:val="en-GB"/>
        </w:rPr>
        <w:t>The MAC entity maintains 3 HARQ entities, each for different cast types. The MAC entity associate a SCI with a HARQ entity first based on its destination ID (and/or source ID) and the HARQ entity associate the SCI with a HARQ process based on Destination ID, Source ID, and HARQ process number in the SCI. The advantage of this design is that it’s a compromise of the previous two designs, and HARQ feedback configurations of unicast and groupcast can be configured and/or enable/disable independently, while disadvantage being not scalable regarding large number of connections between different UEs.</w:t>
      </w:r>
    </w:p>
    <w:p w:rsidR="00440B02" w:rsidRDefault="005908E5" w:rsidP="00440B02">
      <w:pPr>
        <w:jc w:val="center"/>
      </w:pPr>
      <w:r>
        <w:object w:dxaOrig="9940" w:dyaOrig="7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5pt;height:352.55pt" o:ole="">
            <v:imagedata r:id="rId8" o:title=""/>
          </v:shape>
          <o:OLEObject Type="Embed" ProgID="Visio.Drawing.11" ShapeID="_x0000_i1025" DrawAspect="Content" ObjectID="_1627458358" r:id="rId9"/>
        </w:object>
      </w:r>
    </w:p>
    <w:p w:rsidR="00440B02" w:rsidRDefault="00440B02" w:rsidP="00440B02">
      <w:pPr>
        <w:jc w:val="center"/>
      </w:pPr>
      <w:r>
        <w:t xml:space="preserve">Figure 1. </w:t>
      </w:r>
      <w:r w:rsidR="00737E61">
        <w:t>Option 1</w:t>
      </w:r>
      <w:r w:rsidR="0025582B">
        <w:t>.</w:t>
      </w:r>
    </w:p>
    <w:p w:rsidR="00440B02" w:rsidRDefault="005908E5" w:rsidP="00440B02">
      <w:pPr>
        <w:jc w:val="center"/>
      </w:pPr>
      <w:r>
        <w:object w:dxaOrig="8824" w:dyaOrig="6604">
          <v:shape id="_x0000_i1026" type="#_x0000_t75" style="width:441.5pt;height:330.8pt" o:ole="">
            <v:imagedata r:id="rId10" o:title=""/>
          </v:shape>
          <o:OLEObject Type="Embed" ProgID="Visio.Drawing.11" ShapeID="_x0000_i1026" DrawAspect="Content" ObjectID="_1627458359" r:id="rId11"/>
        </w:object>
      </w:r>
    </w:p>
    <w:p w:rsidR="002C50B7" w:rsidRDefault="002C50B7" w:rsidP="00440B02">
      <w:pPr>
        <w:jc w:val="center"/>
      </w:pPr>
      <w:r>
        <w:t xml:space="preserve">Figure 2. </w:t>
      </w:r>
      <w:r w:rsidR="00CE216F">
        <w:t>Option 2</w:t>
      </w:r>
      <w:r>
        <w:t>.</w:t>
      </w:r>
    </w:p>
    <w:p w:rsidR="00E7154A" w:rsidRDefault="00D05AF3" w:rsidP="00440B02">
      <w:pPr>
        <w:jc w:val="center"/>
      </w:pPr>
      <w:r>
        <w:object w:dxaOrig="7917" w:dyaOrig="7048">
          <v:shape id="_x0000_i1027" type="#_x0000_t75" style="width:396pt;height:338.25pt" o:ole="">
            <v:imagedata r:id="rId12" o:title=""/>
          </v:shape>
          <o:OLEObject Type="Embed" ProgID="Visio.Drawing.11" ShapeID="_x0000_i1027" DrawAspect="Content" ObjectID="_1627458360" r:id="rId13"/>
        </w:object>
      </w:r>
    </w:p>
    <w:p w:rsidR="00B636F5" w:rsidRDefault="00B636F5" w:rsidP="00440B02">
      <w:pPr>
        <w:jc w:val="center"/>
      </w:pPr>
      <w:r>
        <w:t xml:space="preserve">Figure 3. </w:t>
      </w:r>
      <w:r w:rsidR="0025582B">
        <w:t>Option 3</w:t>
      </w:r>
      <w:r>
        <w:t>.</w:t>
      </w:r>
    </w:p>
    <w:p w:rsidR="00D12769" w:rsidRPr="004D30D6" w:rsidRDefault="00D12769" w:rsidP="00440B02">
      <w:pPr>
        <w:jc w:val="center"/>
        <w:rPr>
          <w:rFonts w:ascii="Times New Roman" w:hAnsi="Times New Roman" w:cs="Times New Roman"/>
          <w:sz w:val="22"/>
          <w:lang w:val="en-GB"/>
        </w:rPr>
      </w:pPr>
    </w:p>
    <w:p w:rsidR="00D545C6" w:rsidRDefault="00CF17BD" w:rsidP="00AC385B">
      <w:pPr>
        <w:spacing w:after="120"/>
        <w:ind w:left="1561" w:hangingChars="709" w:hanging="1561"/>
        <w:jc w:val="both"/>
        <w:rPr>
          <w:rFonts w:ascii="Times New Roman" w:hAnsi="Times New Roman" w:cs="Times New Roman"/>
          <w:b/>
          <w:sz w:val="22"/>
          <w:lang w:val="en-GB"/>
        </w:rPr>
      </w:pPr>
      <w:r w:rsidRPr="00CE18DF">
        <w:rPr>
          <w:rFonts w:ascii="Times New Roman" w:hAnsi="Times New Roman" w:cs="Times New Roman"/>
          <w:b/>
          <w:sz w:val="22"/>
          <w:lang w:val="en-GB"/>
        </w:rPr>
        <w:t>Proposal</w:t>
      </w:r>
      <w:r>
        <w:rPr>
          <w:rFonts w:ascii="Times New Roman" w:hAnsi="Times New Roman" w:cs="Times New Roman"/>
          <w:b/>
          <w:sz w:val="22"/>
          <w:lang w:val="en-GB"/>
        </w:rPr>
        <w:t xml:space="preserve"> 3</w:t>
      </w:r>
      <w:r w:rsidRPr="00CE18DF">
        <w:rPr>
          <w:rFonts w:ascii="Times New Roman" w:hAnsi="Times New Roman" w:cs="Times New Roman"/>
          <w:b/>
          <w:sz w:val="22"/>
          <w:lang w:val="en-GB"/>
        </w:rPr>
        <w:t>:</w:t>
      </w:r>
      <w:r w:rsidR="00D545C6">
        <w:rPr>
          <w:rFonts w:ascii="Times New Roman" w:hAnsi="Times New Roman" w:cs="Times New Roman"/>
          <w:b/>
          <w:sz w:val="22"/>
          <w:lang w:val="en-GB"/>
        </w:rPr>
        <w:tab/>
      </w:r>
      <w:r>
        <w:rPr>
          <w:rFonts w:ascii="Times New Roman" w:hAnsi="Times New Roman" w:cs="Times New Roman"/>
          <w:b/>
          <w:sz w:val="22"/>
          <w:lang w:val="en-GB"/>
        </w:rPr>
        <w:t>RAN2 discusses MAC architecture for sidelink HARQ entity:</w:t>
      </w:r>
    </w:p>
    <w:p w:rsidR="00CF17BD" w:rsidRDefault="00CF17BD" w:rsidP="00AC385B">
      <w:pPr>
        <w:spacing w:after="120"/>
        <w:ind w:left="2552" w:hanging="1015"/>
        <w:jc w:val="both"/>
        <w:rPr>
          <w:rFonts w:ascii="Times New Roman" w:hAnsi="Times New Roman" w:cs="Times New Roman"/>
          <w:b/>
          <w:sz w:val="22"/>
          <w:lang w:val="en-GB"/>
        </w:rPr>
      </w:pPr>
      <w:r w:rsidRPr="005908E5">
        <w:rPr>
          <w:rFonts w:ascii="Times New Roman" w:hAnsi="Times New Roman" w:cs="Times New Roman"/>
          <w:b/>
          <w:sz w:val="22"/>
          <w:lang w:val="en-GB"/>
        </w:rPr>
        <w:t>Option1:</w:t>
      </w:r>
      <w:r w:rsidR="00D545C6">
        <w:rPr>
          <w:rFonts w:ascii="Times New Roman" w:hAnsi="Times New Roman" w:cs="Times New Roman"/>
          <w:b/>
          <w:sz w:val="22"/>
          <w:lang w:val="en-GB"/>
        </w:rPr>
        <w:tab/>
      </w:r>
      <w:r w:rsidRPr="00D64763">
        <w:rPr>
          <w:rFonts w:ascii="Times New Roman" w:hAnsi="Times New Roman" w:cs="Times New Roman"/>
          <w:b/>
          <w:sz w:val="22"/>
          <w:lang w:val="en-GB"/>
        </w:rPr>
        <w:t>One HARQ entity for broadcast and one HARQ entity for each Source-Destination pair for unicast and groupcast</w:t>
      </w:r>
      <w:r w:rsidR="007B45A1">
        <w:rPr>
          <w:rFonts w:ascii="Times New Roman" w:hAnsi="Times New Roman" w:cs="Times New Roman"/>
          <w:b/>
          <w:sz w:val="22"/>
          <w:lang w:val="en-GB"/>
        </w:rPr>
        <w:t>;</w:t>
      </w:r>
    </w:p>
    <w:p w:rsidR="00CF17BD" w:rsidRDefault="00CF17BD" w:rsidP="00AC385B">
      <w:pPr>
        <w:spacing w:after="120"/>
        <w:ind w:left="2552" w:hanging="1015"/>
        <w:jc w:val="both"/>
        <w:rPr>
          <w:rFonts w:ascii="Times New Roman" w:hAnsi="Times New Roman" w:cs="Times New Roman"/>
          <w:b/>
          <w:sz w:val="22"/>
          <w:lang w:val="en-GB"/>
        </w:rPr>
      </w:pPr>
      <w:r>
        <w:rPr>
          <w:rFonts w:ascii="Times New Roman" w:hAnsi="Times New Roman" w:cs="Times New Roman"/>
          <w:b/>
          <w:sz w:val="22"/>
          <w:lang w:val="en-GB"/>
        </w:rPr>
        <w:t>Option 2:</w:t>
      </w:r>
      <w:r w:rsidR="009E0805">
        <w:rPr>
          <w:rFonts w:ascii="Times New Roman" w:hAnsi="Times New Roman" w:cs="Times New Roman"/>
          <w:b/>
          <w:sz w:val="22"/>
          <w:lang w:val="en-GB"/>
        </w:rPr>
        <w:tab/>
      </w:r>
      <w:r w:rsidRPr="005908E5">
        <w:rPr>
          <w:rFonts w:ascii="Times New Roman" w:hAnsi="Times New Roman" w:cs="Times New Roman"/>
          <w:b/>
          <w:sz w:val="22"/>
          <w:lang w:val="en-GB"/>
        </w:rPr>
        <w:t>One HARQ entity for all cast types</w:t>
      </w:r>
      <w:r w:rsidR="007B45A1">
        <w:rPr>
          <w:rFonts w:ascii="Times New Roman" w:hAnsi="Times New Roman" w:cs="Times New Roman"/>
          <w:b/>
          <w:sz w:val="22"/>
          <w:lang w:val="en-GB"/>
        </w:rPr>
        <w:t>;</w:t>
      </w:r>
    </w:p>
    <w:p w:rsidR="000C5FA6" w:rsidRPr="00F57884" w:rsidRDefault="00CF17BD" w:rsidP="00AC385B">
      <w:pPr>
        <w:spacing w:after="120"/>
        <w:ind w:left="2552" w:hanging="1015"/>
        <w:jc w:val="both"/>
        <w:rPr>
          <w:rFonts w:ascii="Times New Roman" w:hAnsi="Times New Roman" w:cs="Times New Roman"/>
          <w:b/>
          <w:sz w:val="22"/>
          <w:lang w:val="en-GB"/>
        </w:rPr>
      </w:pPr>
      <w:r>
        <w:rPr>
          <w:rFonts w:ascii="Times New Roman" w:hAnsi="Times New Roman" w:cs="Times New Roman"/>
          <w:b/>
          <w:sz w:val="22"/>
          <w:lang w:val="en-GB"/>
        </w:rPr>
        <w:t>Option 3:</w:t>
      </w:r>
      <w:r w:rsidR="009E0805">
        <w:rPr>
          <w:rFonts w:ascii="Times New Roman" w:hAnsi="Times New Roman" w:cs="Times New Roman"/>
          <w:b/>
          <w:sz w:val="22"/>
          <w:lang w:val="en-GB"/>
        </w:rPr>
        <w:tab/>
      </w:r>
      <w:r w:rsidRPr="005908E5">
        <w:rPr>
          <w:rFonts w:ascii="Times New Roman" w:hAnsi="Times New Roman" w:cs="Times New Roman"/>
          <w:b/>
          <w:sz w:val="22"/>
          <w:lang w:val="en-GB"/>
        </w:rPr>
        <w:t>One HARQ entity for each cast type</w:t>
      </w:r>
      <w:r w:rsidR="007B45A1">
        <w:rPr>
          <w:rFonts w:ascii="Times New Roman" w:hAnsi="Times New Roman" w:cs="Times New Roman"/>
          <w:b/>
          <w:sz w:val="22"/>
          <w:lang w:val="en-GB"/>
        </w:rPr>
        <w:t>.</w:t>
      </w:r>
    </w:p>
    <w:p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AB22FA">
        <w:rPr>
          <w:rFonts w:ascii="Times New Roman" w:hAnsi="Times New Roman" w:cs="Times New Roman"/>
          <w:sz w:val="22"/>
        </w:rPr>
        <w:t xml:space="preserve">observations and </w:t>
      </w:r>
      <w:r w:rsidR="00D662B8">
        <w:rPr>
          <w:rFonts w:ascii="Times New Roman" w:hAnsi="Times New Roman" w:cs="Times New Roman"/>
          <w:sz w:val="22"/>
        </w:rPr>
        <w:t>proposal for</w:t>
      </w:r>
      <w:r w:rsidR="00781E50">
        <w:rPr>
          <w:rFonts w:ascii="Times New Roman" w:hAnsi="Times New Roman" w:cs="Times New Roman"/>
          <w:sz w:val="22"/>
        </w:rPr>
        <w:t xml:space="preserve"> </w:t>
      </w:r>
      <w:r w:rsidR="00095499">
        <w:rPr>
          <w:rFonts w:ascii="Times New Roman" w:hAnsi="Times New Roman" w:cs="Times New Roman"/>
          <w:sz w:val="22"/>
        </w:rPr>
        <w:t>handling multiple sidelink communication</w:t>
      </w:r>
      <w:r w:rsidR="001B65B3">
        <w:rPr>
          <w:rFonts w:ascii="Times New Roman" w:hAnsi="Times New Roman" w:cs="Times New Roman"/>
          <w:sz w:val="22"/>
        </w:rPr>
        <w:t>:</w:t>
      </w:r>
    </w:p>
    <w:p w:rsidR="00BF701C" w:rsidRPr="004D30D6" w:rsidRDefault="00BF701C" w:rsidP="00BF701C">
      <w:pPr>
        <w:spacing w:after="240"/>
        <w:ind w:left="1561" w:hangingChars="709" w:hanging="1561"/>
        <w:jc w:val="both"/>
        <w:rPr>
          <w:rFonts w:ascii="Times New Roman" w:hAnsi="Times New Roman" w:cs="Times New Roman"/>
          <w:b/>
          <w:sz w:val="22"/>
          <w:lang w:val="en-GB"/>
        </w:rPr>
      </w:pPr>
      <w:r w:rsidRPr="004D30D6">
        <w:rPr>
          <w:rFonts w:ascii="Times New Roman" w:hAnsi="Times New Roman" w:cs="Times New Roman"/>
          <w:b/>
          <w:sz w:val="22"/>
          <w:lang w:val="en-GB"/>
        </w:rPr>
        <w:t>Observation</w:t>
      </w:r>
      <w:r>
        <w:rPr>
          <w:rFonts w:ascii="Times New Roman" w:hAnsi="Times New Roman" w:cs="Times New Roman"/>
          <w:b/>
          <w:sz w:val="22"/>
          <w:lang w:val="en-GB"/>
        </w:rPr>
        <w:t xml:space="preserve"> 1</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A Rx UE may experience sidelink HARQ process collision when performing sidelink communication with multiple Tx UEs and result in data loss.</w:t>
      </w:r>
    </w:p>
    <w:p w:rsidR="00BF701C" w:rsidRDefault="00BF701C" w:rsidP="00BF701C">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1</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When receiving a SCI for unicast and groupcast, Rx UE determines with which HARQ process the SCI is associated based on HARQ process number, Layer-1 Destination ID and</w:t>
      </w:r>
      <w:r w:rsidRPr="005E41D5">
        <w:rPr>
          <w:rFonts w:ascii="Times New Roman" w:hAnsi="Times New Roman" w:cs="Times New Roman"/>
          <w:b/>
          <w:sz w:val="22"/>
          <w:lang w:val="en-GB"/>
        </w:rPr>
        <w:t xml:space="preserve"> </w:t>
      </w:r>
      <w:r>
        <w:rPr>
          <w:rFonts w:ascii="Times New Roman" w:hAnsi="Times New Roman" w:cs="Times New Roman"/>
          <w:b/>
          <w:sz w:val="22"/>
          <w:lang w:val="en-GB"/>
        </w:rPr>
        <w:t>Layer-1 Source ID.</w:t>
      </w:r>
    </w:p>
    <w:p w:rsidR="00BF701C" w:rsidRDefault="00BF701C" w:rsidP="00BF701C">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2</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HARQ processes used for sidelink broadcast are separated from HARQ processes used for sidelink unicast and groupcast.</w:t>
      </w:r>
    </w:p>
    <w:p w:rsidR="009E0805" w:rsidRDefault="009E0805" w:rsidP="009E0805">
      <w:pPr>
        <w:spacing w:after="120"/>
        <w:ind w:left="1561" w:hangingChars="709" w:hanging="1561"/>
        <w:jc w:val="both"/>
        <w:rPr>
          <w:rFonts w:ascii="Times New Roman" w:hAnsi="Times New Roman" w:cs="Times New Roman"/>
          <w:b/>
          <w:sz w:val="22"/>
          <w:lang w:val="en-GB"/>
        </w:rPr>
      </w:pPr>
      <w:r w:rsidRPr="00CE18DF">
        <w:rPr>
          <w:rFonts w:ascii="Times New Roman" w:hAnsi="Times New Roman" w:cs="Times New Roman"/>
          <w:b/>
          <w:sz w:val="22"/>
          <w:lang w:val="en-GB"/>
        </w:rPr>
        <w:t>Proposal</w:t>
      </w:r>
      <w:r>
        <w:rPr>
          <w:rFonts w:ascii="Times New Roman" w:hAnsi="Times New Roman" w:cs="Times New Roman"/>
          <w:b/>
          <w:sz w:val="22"/>
          <w:lang w:val="en-GB"/>
        </w:rPr>
        <w:t xml:space="preserve"> 3</w:t>
      </w:r>
      <w:r w:rsidRPr="00CE18DF">
        <w:rPr>
          <w:rFonts w:ascii="Times New Roman" w:hAnsi="Times New Roman" w:cs="Times New Roman"/>
          <w:b/>
          <w:sz w:val="22"/>
          <w:lang w:val="en-GB"/>
        </w:rPr>
        <w:t>:</w:t>
      </w:r>
      <w:r>
        <w:rPr>
          <w:rFonts w:ascii="Times New Roman" w:hAnsi="Times New Roman" w:cs="Times New Roman"/>
          <w:b/>
          <w:sz w:val="22"/>
          <w:lang w:val="en-GB"/>
        </w:rPr>
        <w:tab/>
        <w:t>RAN2 discusses MAC architecture for sidelink HARQ entity:</w:t>
      </w:r>
    </w:p>
    <w:p w:rsidR="009E0805" w:rsidRDefault="009E0805" w:rsidP="009E0805">
      <w:pPr>
        <w:spacing w:after="120"/>
        <w:ind w:left="2552" w:hanging="1015"/>
        <w:jc w:val="both"/>
        <w:rPr>
          <w:rFonts w:ascii="Times New Roman" w:hAnsi="Times New Roman" w:cs="Times New Roman"/>
          <w:b/>
          <w:sz w:val="22"/>
          <w:lang w:val="en-GB"/>
        </w:rPr>
      </w:pPr>
      <w:r w:rsidRPr="005908E5">
        <w:rPr>
          <w:rFonts w:ascii="Times New Roman" w:hAnsi="Times New Roman" w:cs="Times New Roman"/>
          <w:b/>
          <w:sz w:val="22"/>
          <w:lang w:val="en-GB"/>
        </w:rPr>
        <w:t>Option1:</w:t>
      </w:r>
      <w:r>
        <w:rPr>
          <w:rFonts w:ascii="Times New Roman" w:hAnsi="Times New Roman" w:cs="Times New Roman"/>
          <w:b/>
          <w:sz w:val="22"/>
          <w:lang w:val="en-GB"/>
        </w:rPr>
        <w:tab/>
      </w:r>
      <w:r w:rsidRPr="00D64763">
        <w:rPr>
          <w:rFonts w:ascii="Times New Roman" w:hAnsi="Times New Roman" w:cs="Times New Roman"/>
          <w:b/>
          <w:sz w:val="22"/>
          <w:lang w:val="en-GB"/>
        </w:rPr>
        <w:t>One HARQ entity for broadcast and one HARQ entity for each Source-Destination pair for unicast and groupcast</w:t>
      </w:r>
      <w:r w:rsidR="007B45A1">
        <w:rPr>
          <w:rFonts w:ascii="Times New Roman" w:hAnsi="Times New Roman" w:cs="Times New Roman"/>
          <w:b/>
          <w:sz w:val="22"/>
          <w:lang w:val="en-GB"/>
        </w:rPr>
        <w:t>;</w:t>
      </w:r>
    </w:p>
    <w:p w:rsidR="009E0805" w:rsidRDefault="009E0805" w:rsidP="009E0805">
      <w:pPr>
        <w:spacing w:after="120"/>
        <w:ind w:left="2552" w:hanging="1015"/>
        <w:jc w:val="both"/>
        <w:rPr>
          <w:rFonts w:ascii="Times New Roman" w:hAnsi="Times New Roman" w:cs="Times New Roman"/>
          <w:b/>
          <w:sz w:val="22"/>
          <w:lang w:val="en-GB"/>
        </w:rPr>
      </w:pPr>
      <w:r>
        <w:rPr>
          <w:rFonts w:ascii="Times New Roman" w:hAnsi="Times New Roman" w:cs="Times New Roman"/>
          <w:b/>
          <w:sz w:val="22"/>
          <w:lang w:val="en-GB"/>
        </w:rPr>
        <w:t>Option 2:</w:t>
      </w:r>
      <w:r>
        <w:rPr>
          <w:rFonts w:ascii="Times New Roman" w:hAnsi="Times New Roman" w:cs="Times New Roman"/>
          <w:b/>
          <w:sz w:val="22"/>
          <w:lang w:val="en-GB"/>
        </w:rPr>
        <w:tab/>
      </w:r>
      <w:r w:rsidRPr="005908E5">
        <w:rPr>
          <w:rFonts w:ascii="Times New Roman" w:hAnsi="Times New Roman" w:cs="Times New Roman"/>
          <w:b/>
          <w:sz w:val="22"/>
          <w:lang w:val="en-GB"/>
        </w:rPr>
        <w:t>One HARQ entity for all cast types</w:t>
      </w:r>
      <w:r w:rsidR="007B45A1">
        <w:rPr>
          <w:rFonts w:ascii="Times New Roman" w:hAnsi="Times New Roman" w:cs="Times New Roman"/>
          <w:b/>
          <w:sz w:val="22"/>
          <w:lang w:val="en-GB"/>
        </w:rPr>
        <w:t>;</w:t>
      </w:r>
    </w:p>
    <w:p w:rsidR="00BF701C" w:rsidRPr="005908E5" w:rsidRDefault="009E0805" w:rsidP="00AC385B">
      <w:pPr>
        <w:spacing w:after="120"/>
        <w:ind w:left="2552" w:hanging="1015"/>
        <w:jc w:val="both"/>
        <w:rPr>
          <w:rFonts w:ascii="Times New Roman" w:hAnsi="Times New Roman" w:cs="Times New Roman"/>
          <w:b/>
          <w:sz w:val="22"/>
          <w:lang w:val="en-GB"/>
        </w:rPr>
      </w:pPr>
      <w:r>
        <w:rPr>
          <w:rFonts w:ascii="Times New Roman" w:hAnsi="Times New Roman" w:cs="Times New Roman"/>
          <w:b/>
          <w:sz w:val="22"/>
          <w:lang w:val="en-GB"/>
        </w:rPr>
        <w:t>Option 3:</w:t>
      </w:r>
      <w:r>
        <w:rPr>
          <w:rFonts w:ascii="Times New Roman" w:hAnsi="Times New Roman" w:cs="Times New Roman"/>
          <w:b/>
          <w:sz w:val="22"/>
          <w:lang w:val="en-GB"/>
        </w:rPr>
        <w:tab/>
      </w:r>
      <w:r w:rsidRPr="005908E5">
        <w:rPr>
          <w:rFonts w:ascii="Times New Roman" w:hAnsi="Times New Roman" w:cs="Times New Roman"/>
          <w:b/>
          <w:sz w:val="22"/>
          <w:lang w:val="en-GB"/>
        </w:rPr>
        <w:t>One HARQ entity for each cast type</w:t>
      </w:r>
      <w:r w:rsidR="007B45A1">
        <w:rPr>
          <w:rFonts w:ascii="Times New Roman" w:hAnsi="Times New Roman" w:cs="Times New Roman"/>
          <w:b/>
          <w:sz w:val="22"/>
          <w:lang w:val="en-GB"/>
        </w:rPr>
        <w:t>.</w:t>
      </w:r>
    </w:p>
    <w:p w:rsidR="00527CF1" w:rsidRPr="000B575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Reference</w:t>
      </w:r>
    </w:p>
    <w:p w:rsidR="005F22E1" w:rsidRPr="00FE2E9F" w:rsidRDefault="00526DA3" w:rsidP="00526DA3">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sidRPr="00526DA3">
        <w:rPr>
          <w:rFonts w:ascii="Times New Roman" w:hAnsi="Times New Roman" w:cs="Times New Roman"/>
          <w:sz w:val="22"/>
        </w:rPr>
        <w:t>R1-1907755, Feature lead summary#2 for 7.2.4.1 Physical layer structure for sidelink, Samsung, RAN1#97 meeting</w:t>
      </w:r>
    </w:p>
    <w:sectPr w:rsidR="005F22E1" w:rsidRPr="00FE2E9F"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70B0" w:rsidRDefault="00A670B0" w:rsidP="006105B4">
      <w:r>
        <w:separator/>
      </w:r>
    </w:p>
  </w:endnote>
  <w:endnote w:type="continuationSeparator" w:id="0">
    <w:p w:rsidR="00A670B0" w:rsidRDefault="00A670B0"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70B0" w:rsidRDefault="00A670B0" w:rsidP="006105B4">
      <w:r>
        <w:separator/>
      </w:r>
    </w:p>
  </w:footnote>
  <w:footnote w:type="continuationSeparator" w:id="0">
    <w:p w:rsidR="00A670B0" w:rsidRDefault="00A670B0" w:rsidP="006105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24928"/>
    <w:multiLevelType w:val="hybridMultilevel"/>
    <w:tmpl w:val="1262BB02"/>
    <w:lvl w:ilvl="0" w:tplc="A4AABFC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787F69E3"/>
    <w:multiLevelType w:val="hybridMultilevel"/>
    <w:tmpl w:val="BA5266B8"/>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347E"/>
    <w:rsid w:val="00004F13"/>
    <w:rsid w:val="00010878"/>
    <w:rsid w:val="0001281D"/>
    <w:rsid w:val="0004178E"/>
    <w:rsid w:val="00044F6B"/>
    <w:rsid w:val="0005250E"/>
    <w:rsid w:val="000569F6"/>
    <w:rsid w:val="00066510"/>
    <w:rsid w:val="000748F9"/>
    <w:rsid w:val="00081D90"/>
    <w:rsid w:val="00095499"/>
    <w:rsid w:val="000954DC"/>
    <w:rsid w:val="000A404D"/>
    <w:rsid w:val="000A5362"/>
    <w:rsid w:val="000B0AF9"/>
    <w:rsid w:val="000B58AA"/>
    <w:rsid w:val="000C071E"/>
    <w:rsid w:val="000C5FA6"/>
    <w:rsid w:val="000D6FE8"/>
    <w:rsid w:val="000F458F"/>
    <w:rsid w:val="000F4B81"/>
    <w:rsid w:val="000F7937"/>
    <w:rsid w:val="000F7B57"/>
    <w:rsid w:val="001105D5"/>
    <w:rsid w:val="0011174E"/>
    <w:rsid w:val="001175AC"/>
    <w:rsid w:val="00117894"/>
    <w:rsid w:val="0015497A"/>
    <w:rsid w:val="00164366"/>
    <w:rsid w:val="00185DA7"/>
    <w:rsid w:val="00193AF2"/>
    <w:rsid w:val="0019436E"/>
    <w:rsid w:val="001B65B3"/>
    <w:rsid w:val="001C72BD"/>
    <w:rsid w:val="001D0448"/>
    <w:rsid w:val="001D61B8"/>
    <w:rsid w:val="001D62A1"/>
    <w:rsid w:val="001D70A0"/>
    <w:rsid w:val="002016CE"/>
    <w:rsid w:val="00223DF2"/>
    <w:rsid w:val="002245CF"/>
    <w:rsid w:val="0022745C"/>
    <w:rsid w:val="00227E0C"/>
    <w:rsid w:val="0023592B"/>
    <w:rsid w:val="00252235"/>
    <w:rsid w:val="0025582B"/>
    <w:rsid w:val="002575DF"/>
    <w:rsid w:val="0027554B"/>
    <w:rsid w:val="00280EF6"/>
    <w:rsid w:val="00282FF4"/>
    <w:rsid w:val="00293699"/>
    <w:rsid w:val="00294304"/>
    <w:rsid w:val="00294436"/>
    <w:rsid w:val="002A78B0"/>
    <w:rsid w:val="002B5406"/>
    <w:rsid w:val="002C05D4"/>
    <w:rsid w:val="002C50B7"/>
    <w:rsid w:val="002D334D"/>
    <w:rsid w:val="002D5871"/>
    <w:rsid w:val="002E5AB3"/>
    <w:rsid w:val="002E5EF1"/>
    <w:rsid w:val="002F2795"/>
    <w:rsid w:val="002F3526"/>
    <w:rsid w:val="00301248"/>
    <w:rsid w:val="00301F5C"/>
    <w:rsid w:val="00303858"/>
    <w:rsid w:val="00314DF8"/>
    <w:rsid w:val="00334123"/>
    <w:rsid w:val="00341356"/>
    <w:rsid w:val="00351F4F"/>
    <w:rsid w:val="00375D09"/>
    <w:rsid w:val="00381AC4"/>
    <w:rsid w:val="00393348"/>
    <w:rsid w:val="003A65FF"/>
    <w:rsid w:val="003B01D5"/>
    <w:rsid w:val="003B23F3"/>
    <w:rsid w:val="003B5FC2"/>
    <w:rsid w:val="003C0C69"/>
    <w:rsid w:val="003C5C2B"/>
    <w:rsid w:val="003D4575"/>
    <w:rsid w:val="003D71C6"/>
    <w:rsid w:val="003D7D5A"/>
    <w:rsid w:val="003E183D"/>
    <w:rsid w:val="003E28D5"/>
    <w:rsid w:val="003F0418"/>
    <w:rsid w:val="003F40A5"/>
    <w:rsid w:val="003F577E"/>
    <w:rsid w:val="003F61EC"/>
    <w:rsid w:val="00404D76"/>
    <w:rsid w:val="00404F50"/>
    <w:rsid w:val="004077B2"/>
    <w:rsid w:val="00407D07"/>
    <w:rsid w:val="004115A4"/>
    <w:rsid w:val="00413D82"/>
    <w:rsid w:val="00421294"/>
    <w:rsid w:val="00431964"/>
    <w:rsid w:val="00440B02"/>
    <w:rsid w:val="00446E7B"/>
    <w:rsid w:val="00451189"/>
    <w:rsid w:val="004514A2"/>
    <w:rsid w:val="0045530B"/>
    <w:rsid w:val="004604E8"/>
    <w:rsid w:val="004628A0"/>
    <w:rsid w:val="00462905"/>
    <w:rsid w:val="004669CA"/>
    <w:rsid w:val="004704C3"/>
    <w:rsid w:val="00474EC6"/>
    <w:rsid w:val="00476C75"/>
    <w:rsid w:val="004808E6"/>
    <w:rsid w:val="00482752"/>
    <w:rsid w:val="00484573"/>
    <w:rsid w:val="004858C6"/>
    <w:rsid w:val="00490186"/>
    <w:rsid w:val="00490E92"/>
    <w:rsid w:val="00493DF6"/>
    <w:rsid w:val="004A699F"/>
    <w:rsid w:val="004A6A03"/>
    <w:rsid w:val="004B1A82"/>
    <w:rsid w:val="004D30D6"/>
    <w:rsid w:val="004E25A8"/>
    <w:rsid w:val="004E3554"/>
    <w:rsid w:val="004E48B8"/>
    <w:rsid w:val="00502FA8"/>
    <w:rsid w:val="00510EFB"/>
    <w:rsid w:val="00526364"/>
    <w:rsid w:val="00526DA3"/>
    <w:rsid w:val="00527CF1"/>
    <w:rsid w:val="00536AE1"/>
    <w:rsid w:val="0054248B"/>
    <w:rsid w:val="005432B9"/>
    <w:rsid w:val="005456D5"/>
    <w:rsid w:val="00551295"/>
    <w:rsid w:val="005637D8"/>
    <w:rsid w:val="00576CF2"/>
    <w:rsid w:val="00580101"/>
    <w:rsid w:val="005908E5"/>
    <w:rsid w:val="005A2565"/>
    <w:rsid w:val="005A47CE"/>
    <w:rsid w:val="005B5534"/>
    <w:rsid w:val="005D0C44"/>
    <w:rsid w:val="005D11FC"/>
    <w:rsid w:val="005D55AA"/>
    <w:rsid w:val="005D79D9"/>
    <w:rsid w:val="005E41D5"/>
    <w:rsid w:val="005E535E"/>
    <w:rsid w:val="005F22E1"/>
    <w:rsid w:val="005F4FB0"/>
    <w:rsid w:val="005F5310"/>
    <w:rsid w:val="006105B4"/>
    <w:rsid w:val="00617BE2"/>
    <w:rsid w:val="00621025"/>
    <w:rsid w:val="0062445E"/>
    <w:rsid w:val="00626C6E"/>
    <w:rsid w:val="00626E6A"/>
    <w:rsid w:val="006279D1"/>
    <w:rsid w:val="0063176F"/>
    <w:rsid w:val="00634C47"/>
    <w:rsid w:val="00634FFE"/>
    <w:rsid w:val="00675F5C"/>
    <w:rsid w:val="00676CB6"/>
    <w:rsid w:val="00681FAA"/>
    <w:rsid w:val="00685DF0"/>
    <w:rsid w:val="00690C41"/>
    <w:rsid w:val="006922FC"/>
    <w:rsid w:val="006949EC"/>
    <w:rsid w:val="00695FC1"/>
    <w:rsid w:val="006B2C3A"/>
    <w:rsid w:val="006B5E49"/>
    <w:rsid w:val="006B61DB"/>
    <w:rsid w:val="006C34E2"/>
    <w:rsid w:val="006C4C37"/>
    <w:rsid w:val="006D01F8"/>
    <w:rsid w:val="006D7DF3"/>
    <w:rsid w:val="006E2565"/>
    <w:rsid w:val="006E3F63"/>
    <w:rsid w:val="006F4AED"/>
    <w:rsid w:val="00702606"/>
    <w:rsid w:val="00705B22"/>
    <w:rsid w:val="0071541F"/>
    <w:rsid w:val="00723462"/>
    <w:rsid w:val="00731CA3"/>
    <w:rsid w:val="00737E61"/>
    <w:rsid w:val="00741D1D"/>
    <w:rsid w:val="007526FF"/>
    <w:rsid w:val="00763698"/>
    <w:rsid w:val="007729D8"/>
    <w:rsid w:val="00777927"/>
    <w:rsid w:val="00781E50"/>
    <w:rsid w:val="00786389"/>
    <w:rsid w:val="007943D8"/>
    <w:rsid w:val="00796D11"/>
    <w:rsid w:val="007A19B0"/>
    <w:rsid w:val="007A5674"/>
    <w:rsid w:val="007B45A1"/>
    <w:rsid w:val="007C5ABC"/>
    <w:rsid w:val="007C671C"/>
    <w:rsid w:val="007C7A77"/>
    <w:rsid w:val="007D3ACC"/>
    <w:rsid w:val="007F32F7"/>
    <w:rsid w:val="007F46AF"/>
    <w:rsid w:val="008214FD"/>
    <w:rsid w:val="008269DE"/>
    <w:rsid w:val="00834628"/>
    <w:rsid w:val="008466C6"/>
    <w:rsid w:val="00847EF5"/>
    <w:rsid w:val="00850643"/>
    <w:rsid w:val="00863DE0"/>
    <w:rsid w:val="00883F88"/>
    <w:rsid w:val="008A350F"/>
    <w:rsid w:val="008C09F1"/>
    <w:rsid w:val="008E02B2"/>
    <w:rsid w:val="008E0B29"/>
    <w:rsid w:val="008E16DE"/>
    <w:rsid w:val="008E3E1A"/>
    <w:rsid w:val="008F17C1"/>
    <w:rsid w:val="00902767"/>
    <w:rsid w:val="00912BBE"/>
    <w:rsid w:val="009254CE"/>
    <w:rsid w:val="009300F7"/>
    <w:rsid w:val="00937248"/>
    <w:rsid w:val="00940DB1"/>
    <w:rsid w:val="009456B4"/>
    <w:rsid w:val="0095717F"/>
    <w:rsid w:val="0097394C"/>
    <w:rsid w:val="009820CB"/>
    <w:rsid w:val="00992953"/>
    <w:rsid w:val="009976A8"/>
    <w:rsid w:val="009B0AE7"/>
    <w:rsid w:val="009B7EC4"/>
    <w:rsid w:val="009C600A"/>
    <w:rsid w:val="009D0C09"/>
    <w:rsid w:val="009D4478"/>
    <w:rsid w:val="009D5700"/>
    <w:rsid w:val="009E0805"/>
    <w:rsid w:val="009E0F4A"/>
    <w:rsid w:val="009F0E01"/>
    <w:rsid w:val="009F0F51"/>
    <w:rsid w:val="009F21D3"/>
    <w:rsid w:val="009F3151"/>
    <w:rsid w:val="009F5106"/>
    <w:rsid w:val="00A0072F"/>
    <w:rsid w:val="00A0651C"/>
    <w:rsid w:val="00A142E5"/>
    <w:rsid w:val="00A17945"/>
    <w:rsid w:val="00A2376F"/>
    <w:rsid w:val="00A272BD"/>
    <w:rsid w:val="00A3346E"/>
    <w:rsid w:val="00A352FD"/>
    <w:rsid w:val="00A37977"/>
    <w:rsid w:val="00A4058D"/>
    <w:rsid w:val="00A46C45"/>
    <w:rsid w:val="00A55C89"/>
    <w:rsid w:val="00A66371"/>
    <w:rsid w:val="00A670B0"/>
    <w:rsid w:val="00A84BCE"/>
    <w:rsid w:val="00AA0943"/>
    <w:rsid w:val="00AB22FA"/>
    <w:rsid w:val="00AC0C7F"/>
    <w:rsid w:val="00AC2A36"/>
    <w:rsid w:val="00AC385B"/>
    <w:rsid w:val="00AC3BA9"/>
    <w:rsid w:val="00AD0B88"/>
    <w:rsid w:val="00AD477C"/>
    <w:rsid w:val="00AE3EEC"/>
    <w:rsid w:val="00AF5445"/>
    <w:rsid w:val="00B109BA"/>
    <w:rsid w:val="00B11D49"/>
    <w:rsid w:val="00B11DA7"/>
    <w:rsid w:val="00B20377"/>
    <w:rsid w:val="00B2547B"/>
    <w:rsid w:val="00B2574E"/>
    <w:rsid w:val="00B376E2"/>
    <w:rsid w:val="00B403A7"/>
    <w:rsid w:val="00B434B3"/>
    <w:rsid w:val="00B6057A"/>
    <w:rsid w:val="00B636F5"/>
    <w:rsid w:val="00B63813"/>
    <w:rsid w:val="00B749CE"/>
    <w:rsid w:val="00BA49EB"/>
    <w:rsid w:val="00BA727E"/>
    <w:rsid w:val="00BB24CC"/>
    <w:rsid w:val="00BB3713"/>
    <w:rsid w:val="00BB5AC2"/>
    <w:rsid w:val="00BC0424"/>
    <w:rsid w:val="00BC66EC"/>
    <w:rsid w:val="00BD2AA5"/>
    <w:rsid w:val="00BE4104"/>
    <w:rsid w:val="00BF51AD"/>
    <w:rsid w:val="00BF701C"/>
    <w:rsid w:val="00C00722"/>
    <w:rsid w:val="00C10376"/>
    <w:rsid w:val="00C1101B"/>
    <w:rsid w:val="00C246C9"/>
    <w:rsid w:val="00C46B07"/>
    <w:rsid w:val="00C51BE8"/>
    <w:rsid w:val="00C53795"/>
    <w:rsid w:val="00C53BA6"/>
    <w:rsid w:val="00C55341"/>
    <w:rsid w:val="00C643DE"/>
    <w:rsid w:val="00C658FB"/>
    <w:rsid w:val="00C70ADC"/>
    <w:rsid w:val="00C776B8"/>
    <w:rsid w:val="00C80A72"/>
    <w:rsid w:val="00C956BE"/>
    <w:rsid w:val="00CA4CD8"/>
    <w:rsid w:val="00CB3F85"/>
    <w:rsid w:val="00CB60A7"/>
    <w:rsid w:val="00CC4E1F"/>
    <w:rsid w:val="00CC7AC2"/>
    <w:rsid w:val="00CE081D"/>
    <w:rsid w:val="00CE18DF"/>
    <w:rsid w:val="00CE216F"/>
    <w:rsid w:val="00CE6EA2"/>
    <w:rsid w:val="00CF17BD"/>
    <w:rsid w:val="00CF7113"/>
    <w:rsid w:val="00CF7C7C"/>
    <w:rsid w:val="00D05AF3"/>
    <w:rsid w:val="00D12769"/>
    <w:rsid w:val="00D14326"/>
    <w:rsid w:val="00D27363"/>
    <w:rsid w:val="00D33832"/>
    <w:rsid w:val="00D545C6"/>
    <w:rsid w:val="00D621BF"/>
    <w:rsid w:val="00D64763"/>
    <w:rsid w:val="00D662B8"/>
    <w:rsid w:val="00D71BA4"/>
    <w:rsid w:val="00D76415"/>
    <w:rsid w:val="00D77B96"/>
    <w:rsid w:val="00D864D3"/>
    <w:rsid w:val="00DA0584"/>
    <w:rsid w:val="00DA273A"/>
    <w:rsid w:val="00DA316D"/>
    <w:rsid w:val="00DA6AEF"/>
    <w:rsid w:val="00DB53BB"/>
    <w:rsid w:val="00DB7831"/>
    <w:rsid w:val="00DC1FF2"/>
    <w:rsid w:val="00DC263D"/>
    <w:rsid w:val="00DC407A"/>
    <w:rsid w:val="00DC4E26"/>
    <w:rsid w:val="00DD0612"/>
    <w:rsid w:val="00DD609B"/>
    <w:rsid w:val="00DE010D"/>
    <w:rsid w:val="00DE193A"/>
    <w:rsid w:val="00DE6200"/>
    <w:rsid w:val="00DE67E1"/>
    <w:rsid w:val="00E00B6D"/>
    <w:rsid w:val="00E07866"/>
    <w:rsid w:val="00E12D78"/>
    <w:rsid w:val="00E20F0C"/>
    <w:rsid w:val="00E22B09"/>
    <w:rsid w:val="00E26EA8"/>
    <w:rsid w:val="00E326EE"/>
    <w:rsid w:val="00E3323C"/>
    <w:rsid w:val="00E35178"/>
    <w:rsid w:val="00E36042"/>
    <w:rsid w:val="00E444D2"/>
    <w:rsid w:val="00E613B5"/>
    <w:rsid w:val="00E6693F"/>
    <w:rsid w:val="00E67622"/>
    <w:rsid w:val="00E70AD4"/>
    <w:rsid w:val="00E7154A"/>
    <w:rsid w:val="00E75D8D"/>
    <w:rsid w:val="00EA2D02"/>
    <w:rsid w:val="00EA3F53"/>
    <w:rsid w:val="00EA44B2"/>
    <w:rsid w:val="00EA6D48"/>
    <w:rsid w:val="00EB2B6F"/>
    <w:rsid w:val="00EB667D"/>
    <w:rsid w:val="00ED2B61"/>
    <w:rsid w:val="00ED4393"/>
    <w:rsid w:val="00EF09C7"/>
    <w:rsid w:val="00EF71C5"/>
    <w:rsid w:val="00F042DD"/>
    <w:rsid w:val="00F051B3"/>
    <w:rsid w:val="00F06255"/>
    <w:rsid w:val="00F104D3"/>
    <w:rsid w:val="00F12FEC"/>
    <w:rsid w:val="00F168FB"/>
    <w:rsid w:val="00F26017"/>
    <w:rsid w:val="00F26B48"/>
    <w:rsid w:val="00F4778F"/>
    <w:rsid w:val="00F57884"/>
    <w:rsid w:val="00F6689E"/>
    <w:rsid w:val="00F708B0"/>
    <w:rsid w:val="00F9150D"/>
    <w:rsid w:val="00F92A65"/>
    <w:rsid w:val="00F948C8"/>
    <w:rsid w:val="00FA2616"/>
    <w:rsid w:val="00FA48AC"/>
    <w:rsid w:val="00FB6D32"/>
    <w:rsid w:val="00FC4579"/>
    <w:rsid w:val="00FC5609"/>
    <w:rsid w:val="00FC582E"/>
    <w:rsid w:val="00FD298F"/>
    <w:rsid w:val="00FE281D"/>
    <w:rsid w:val="00FE2E9F"/>
    <w:rsid w:val="00FE4F66"/>
    <w:rsid w:val="00FE70F4"/>
    <w:rsid w:val="00FF125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4E8"/>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
    <w:link w:val="B2Car"/>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
    <w:name w:val="List 2"/>
    <w:basedOn w:val="a"/>
    <w:uiPriority w:val="99"/>
    <w:semiHidden/>
    <w:unhideWhenUsed/>
    <w:rsid w:val="00C53BA6"/>
    <w:pPr>
      <w:ind w:leftChars="400" w:left="100" w:hangingChars="200" w:hanging="200"/>
      <w:contextualSpacing/>
    </w:pPr>
  </w:style>
  <w:style w:type="paragraph" w:styleId="a4">
    <w:name w:val="List Paragraph"/>
    <w:aliases w:val="- Bullets,リスト段落,?? ??,?????,????,列出段落,Lista1,列出段落1,中等深浅网格 1 - 着色 21,列表段落,¥¡¡¡¡ì¬º¥¹¥È¶ÎÂä,ÁÐ³ö¶ÎÂä,列表段落1,—ño’i—Ž,¥ê¥¹¥È¶ÎÂä"/>
    <w:basedOn w:val="a"/>
    <w:link w:val="a5"/>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rsid w:val="006F4AED"/>
    <w:rPr>
      <w:rFonts w:ascii="Arial" w:eastAsia="MS Mincho" w:hAnsi="Arial" w:cs="Times New Roman"/>
      <w:kern w:val="0"/>
      <w:sz w:val="20"/>
      <w:szCs w:val="24"/>
      <w:lang w:val="x-none" w:eastAsia="en-GB"/>
    </w:rPr>
  </w:style>
  <w:style w:type="paragraph" w:styleId="a6">
    <w:name w:val="header"/>
    <w:basedOn w:val="a"/>
    <w:link w:val="a7"/>
    <w:uiPriority w:val="99"/>
    <w:unhideWhenUsed/>
    <w:rsid w:val="006105B4"/>
    <w:pPr>
      <w:tabs>
        <w:tab w:val="center" w:pos="4153"/>
        <w:tab w:val="right" w:pos="8306"/>
      </w:tabs>
      <w:snapToGrid w:val="0"/>
    </w:pPr>
    <w:rPr>
      <w:sz w:val="20"/>
      <w:szCs w:val="20"/>
    </w:rPr>
  </w:style>
  <w:style w:type="character" w:customStyle="1" w:styleId="a7">
    <w:name w:val="頁首 字元"/>
    <w:basedOn w:val="a0"/>
    <w:link w:val="a6"/>
    <w:uiPriority w:val="99"/>
    <w:rsid w:val="006105B4"/>
    <w:rPr>
      <w:sz w:val="20"/>
      <w:szCs w:val="20"/>
    </w:rPr>
  </w:style>
  <w:style w:type="paragraph" w:styleId="a8">
    <w:name w:val="footer"/>
    <w:basedOn w:val="a"/>
    <w:link w:val="a9"/>
    <w:uiPriority w:val="99"/>
    <w:unhideWhenUsed/>
    <w:rsid w:val="006105B4"/>
    <w:pPr>
      <w:tabs>
        <w:tab w:val="center" w:pos="4153"/>
        <w:tab w:val="right" w:pos="8306"/>
      </w:tabs>
      <w:snapToGrid w:val="0"/>
    </w:pPr>
    <w:rPr>
      <w:sz w:val="20"/>
      <w:szCs w:val="20"/>
    </w:rPr>
  </w:style>
  <w:style w:type="character" w:customStyle="1" w:styleId="a9">
    <w:name w:val="頁尾 字元"/>
    <w:basedOn w:val="a0"/>
    <w:link w:val="a8"/>
    <w:uiPriority w:val="99"/>
    <w:rsid w:val="006105B4"/>
    <w:rPr>
      <w:sz w:val="20"/>
      <w:szCs w:val="20"/>
    </w:rPr>
  </w:style>
  <w:style w:type="paragraph" w:styleId="aa">
    <w:name w:val="Balloon Text"/>
    <w:basedOn w:val="a"/>
    <w:link w:val="ab"/>
    <w:uiPriority w:val="99"/>
    <w:semiHidden/>
    <w:unhideWhenUsed/>
    <w:rsid w:val="006105B4"/>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6105B4"/>
    <w:rPr>
      <w:rFonts w:asciiTheme="majorHAnsi" w:eastAsiaTheme="majorEastAsia" w:hAnsiTheme="majorHAnsi" w:cstheme="majorBidi"/>
      <w:sz w:val="18"/>
      <w:szCs w:val="18"/>
    </w:rPr>
  </w:style>
  <w:style w:type="paragraph" w:customStyle="1" w:styleId="LGTdoc">
    <w:name w:val="LGTdoc_본문"/>
    <w:basedOn w:val="a"/>
    <w:link w:val="LGTdocChar"/>
    <w:rsid w:val="007F46AF"/>
    <w:pPr>
      <w:autoSpaceDE w:val="0"/>
      <w:autoSpaceDN w:val="0"/>
      <w:adjustRightInd w:val="0"/>
      <w:snapToGrid w:val="0"/>
      <w:spacing w:afterLines="50" w:after="120" w:line="264" w:lineRule="auto"/>
      <w:jc w:val="both"/>
    </w:pPr>
    <w:rPr>
      <w:rFonts w:ascii="Times New Roman" w:eastAsia="Batang" w:hAnsi="Times New Roman" w:cs="Times New Roman"/>
      <w:sz w:val="22"/>
      <w:szCs w:val="24"/>
      <w:lang w:val="en-GB" w:eastAsia="ko-KR"/>
    </w:rPr>
  </w:style>
  <w:style w:type="character" w:customStyle="1" w:styleId="LGTdocChar">
    <w:name w:val="LGTdoc_본문 Char"/>
    <w:link w:val="LGTdoc"/>
    <w:rsid w:val="007F46AF"/>
    <w:rPr>
      <w:rFonts w:ascii="Times New Roman" w:eastAsia="Batang" w:hAnsi="Times New Roman" w:cs="Times New Roman"/>
      <w:sz w:val="22"/>
      <w:szCs w:val="24"/>
      <w:lang w:val="en-GB" w:eastAsia="ko-KR"/>
    </w:rPr>
  </w:style>
  <w:style w:type="character" w:customStyle="1" w:styleId="a5">
    <w:name w:val="清單段落 字元"/>
    <w:aliases w:val="- Bullets 字元,リスト段落 字元,?? ?? 字元,????? 字元,???? 字元,列出段落 字元,Lista1 字元,列出段落1 字元,中等深浅网格 1 - 着色 21 字元,列表段落 字元,¥¡¡¡¡ì¬º¥¹¥È¶ÎÂä 字元,ÁÐ³ö¶ÎÂä 字元,列表段落1 字元,—ño’i—Ž 字元,¥ê¥¹¥È¶ÎÂä 字元"/>
    <w:link w:val="a4"/>
    <w:uiPriority w:val="34"/>
    <w:qFormat/>
    <w:rsid w:val="002F2795"/>
  </w:style>
  <w:style w:type="paragraph" w:customStyle="1" w:styleId="Style1">
    <w:name w:val="Style1"/>
    <w:basedOn w:val="a"/>
    <w:link w:val="Style1Char"/>
    <w:qFormat/>
    <w:rsid w:val="002F2795"/>
    <w:pPr>
      <w:widowControl/>
      <w:spacing w:after="100" w:afterAutospacing="1" w:line="300" w:lineRule="auto"/>
      <w:ind w:firstLine="360"/>
      <w:contextualSpacing/>
      <w:jc w:val="both"/>
    </w:pPr>
    <w:rPr>
      <w:rFonts w:ascii="Times New Roman" w:eastAsia="SimSun" w:hAnsi="Times New Roman" w:cs="Times New Roman"/>
      <w:kern w:val="0"/>
      <w:sz w:val="20"/>
      <w:szCs w:val="20"/>
      <w:lang w:eastAsia="zh-CN"/>
    </w:rPr>
  </w:style>
  <w:style w:type="character" w:customStyle="1" w:styleId="Style1Char">
    <w:name w:val="Style1 Char"/>
    <w:link w:val="Style1"/>
    <w:rsid w:val="002F2795"/>
    <w:rPr>
      <w:rFonts w:ascii="Times New Roman" w:eastAsia="SimSun" w:hAnsi="Times New Roman" w:cs="Times New Roman"/>
      <w:kern w:val="0"/>
      <w:sz w:val="20"/>
      <w:szCs w:val="20"/>
      <w:lang w:eastAsia="zh-CN"/>
    </w:rPr>
  </w:style>
  <w:style w:type="table" w:styleId="ac">
    <w:name w:val="Table Grid"/>
    <w:basedOn w:val="a1"/>
    <w:uiPriority w:val="39"/>
    <w:rsid w:val="00E00B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2FF26-E2CC-4E72-87F9-FD7847792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1375</Words>
  <Characters>7844</Characters>
  <Application>Microsoft Office Word</Application>
  <DocSecurity>0</DocSecurity>
  <Lines>65</Lines>
  <Paragraphs>18</Paragraphs>
  <ScaleCrop>false</ScaleCrop>
  <Company/>
  <LinksUpToDate>false</LinksUpToDate>
  <CharactersWithSpaces>9201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Lider Pan</cp:lastModifiedBy>
  <cp:revision>2</cp:revision>
  <dcterms:created xsi:type="dcterms:W3CDTF">2019-08-16T02:59:00Z</dcterms:created>
  <dcterms:modified xsi:type="dcterms:W3CDTF">2019-08-16T02:59:00Z</dcterms:modified>
</cp:coreProperties>
</file>